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dxa"/>
        <w:tblInd w:w="-572" w:type="dxa"/>
        <w:tblLayout w:type="fixed"/>
        <w:tblLook w:val="04A0" w:firstRow="1" w:lastRow="0" w:firstColumn="1" w:lastColumn="0" w:noHBand="0" w:noVBand="1"/>
      </w:tblPr>
      <w:tblGrid>
        <w:gridCol w:w="567"/>
        <w:gridCol w:w="3544"/>
        <w:gridCol w:w="4898"/>
        <w:gridCol w:w="4854"/>
      </w:tblGrid>
      <w:tr w:rsidR="00FB18FA" w:rsidRPr="00EF10F1" w:rsidTr="002764E3">
        <w:trPr>
          <w:trHeight w:val="2382"/>
        </w:trPr>
        <w:tc>
          <w:tcPr>
            <w:tcW w:w="567" w:type="dxa"/>
            <w:vAlign w:val="center"/>
          </w:tcPr>
          <w:p w:rsidR="00FB18FA" w:rsidRPr="00EF10F1" w:rsidRDefault="00FB18FA" w:rsidP="00B436CA">
            <w:pPr>
              <w:jc w:val="center"/>
              <w:rPr>
                <w:rFonts w:ascii="Arial" w:hAnsi="Arial" w:cs="Arial"/>
                <w:sz w:val="16"/>
                <w:szCs w:val="18"/>
              </w:rPr>
            </w:pPr>
            <w:r w:rsidRPr="00EF10F1">
              <w:rPr>
                <w:rFonts w:ascii="Arial" w:hAnsi="Arial" w:cs="Arial"/>
                <w:sz w:val="16"/>
                <w:szCs w:val="18"/>
              </w:rPr>
              <w:t>1</w:t>
            </w: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 xml:space="preserve">Presentación </w:t>
            </w:r>
          </w:p>
        </w:tc>
        <w:tc>
          <w:tcPr>
            <w:tcW w:w="4898" w:type="dxa"/>
            <w:vAlign w:val="center"/>
          </w:tcPr>
          <w:p w:rsidR="00FB18FA" w:rsidRDefault="00FB18FA" w:rsidP="00B436CA">
            <w:pPr>
              <w:jc w:val="both"/>
              <w:rPr>
                <w:sz w:val="16"/>
                <w:szCs w:val="18"/>
              </w:rPr>
            </w:pPr>
            <w:r w:rsidRPr="00EF10F1">
              <w:rPr>
                <w:sz w:val="16"/>
                <w:szCs w:val="18"/>
              </w:rPr>
              <w:t>- Señalar las atribuciones del Oficial Mayor para la emisión de la norma, conforme lo establece el Reglamento Interior de la SCT.</w:t>
            </w:r>
          </w:p>
          <w:p w:rsidR="00EF10F1" w:rsidRDefault="00EF10F1" w:rsidP="00B436CA">
            <w:pPr>
              <w:jc w:val="both"/>
              <w:rPr>
                <w:sz w:val="16"/>
                <w:szCs w:val="18"/>
              </w:rPr>
            </w:pPr>
          </w:p>
          <w:p w:rsidR="00FB18FA" w:rsidRPr="00EF10F1" w:rsidRDefault="00FB18FA" w:rsidP="00B376A4">
            <w:pPr>
              <w:rPr>
                <w:sz w:val="16"/>
                <w:szCs w:val="18"/>
              </w:rPr>
            </w:pPr>
            <w:r w:rsidRPr="00EF10F1">
              <w:rPr>
                <w:sz w:val="16"/>
                <w:szCs w:val="18"/>
              </w:rPr>
              <w:t>- Indicar que la creación del Grupo de Trabajo o UAA fue creado para suplir las funciones del Comité Interno de Mejora Regulatoria.</w:t>
            </w:r>
          </w:p>
        </w:tc>
        <w:tc>
          <w:tcPr>
            <w:tcW w:w="4854" w:type="dxa"/>
          </w:tcPr>
          <w:p w:rsidR="00FB18FA" w:rsidRPr="00EF10F1" w:rsidRDefault="00FB18FA" w:rsidP="00B376A4">
            <w:pPr>
              <w:jc w:val="both"/>
              <w:rPr>
                <w:sz w:val="16"/>
                <w:szCs w:val="18"/>
              </w:rPr>
            </w:pPr>
            <w:r w:rsidRPr="00EF10F1">
              <w:rPr>
                <w:sz w:val="16"/>
                <w:szCs w:val="18"/>
              </w:rPr>
              <w:t xml:space="preserve">- </w:t>
            </w:r>
            <w:r w:rsidR="002C58FE" w:rsidRPr="00EF10F1">
              <w:rPr>
                <w:sz w:val="16"/>
                <w:szCs w:val="18"/>
              </w:rPr>
              <w:t>Atendido, se eliminó el último párrafo</w:t>
            </w:r>
            <w:r w:rsidR="00B376A4" w:rsidRPr="00EF10F1">
              <w:rPr>
                <w:sz w:val="16"/>
                <w:szCs w:val="18"/>
              </w:rPr>
              <w:t>, mismo que no era significativo</w:t>
            </w:r>
            <w:r w:rsidR="002C58FE" w:rsidRPr="00EF10F1">
              <w:rPr>
                <w:sz w:val="16"/>
                <w:szCs w:val="18"/>
              </w:rPr>
              <w:t xml:space="preserve"> y se incorporó el fundamento legal para la firma del documento, </w:t>
            </w:r>
          </w:p>
          <w:p w:rsidR="00EF10F1" w:rsidRDefault="00EF10F1" w:rsidP="00B376A4">
            <w:pPr>
              <w:jc w:val="both"/>
              <w:rPr>
                <w:sz w:val="16"/>
                <w:szCs w:val="18"/>
              </w:rPr>
            </w:pPr>
          </w:p>
          <w:p w:rsidR="00FB18FA" w:rsidRPr="00EF10F1" w:rsidRDefault="00FB18FA" w:rsidP="00B376A4">
            <w:pPr>
              <w:jc w:val="both"/>
              <w:rPr>
                <w:sz w:val="16"/>
                <w:szCs w:val="18"/>
              </w:rPr>
            </w:pPr>
            <w:r w:rsidRPr="00EF10F1">
              <w:rPr>
                <w:sz w:val="16"/>
                <w:szCs w:val="18"/>
              </w:rPr>
              <w:t xml:space="preserve">-  Mediante el Oficio Circular No. 5.1.-014 del 05 de febrero de 2013, se dio a conocer a todas las Unidades Administrativas </w:t>
            </w:r>
            <w:r w:rsidR="002C58FE" w:rsidRPr="00EF10F1">
              <w:rPr>
                <w:sz w:val="16"/>
                <w:szCs w:val="18"/>
              </w:rPr>
              <w:t>la extinción del COMERI y se presentó el nuevo mecanismo, a través de la “Guía para la Emisión de Documentos Normativos Internos</w:t>
            </w:r>
            <w:r w:rsidR="00671F45" w:rsidRPr="00EF10F1">
              <w:rPr>
                <w:sz w:val="16"/>
                <w:szCs w:val="18"/>
              </w:rPr>
              <w:t>”</w:t>
            </w:r>
            <w:r w:rsidR="00B07028" w:rsidRPr="00EF10F1">
              <w:rPr>
                <w:sz w:val="16"/>
                <w:szCs w:val="18"/>
              </w:rPr>
              <w:t>;</w:t>
            </w:r>
            <w:r w:rsidR="00671F45" w:rsidRPr="00EF10F1">
              <w:rPr>
                <w:sz w:val="16"/>
                <w:szCs w:val="18"/>
              </w:rPr>
              <w:t xml:space="preserve"> motivo por el cual </w:t>
            </w:r>
            <w:r w:rsidR="002C58FE" w:rsidRPr="00EF10F1">
              <w:rPr>
                <w:sz w:val="16"/>
                <w:szCs w:val="18"/>
              </w:rPr>
              <w:t xml:space="preserve">se </w:t>
            </w:r>
            <w:r w:rsidR="00671F45" w:rsidRPr="00EF10F1">
              <w:rPr>
                <w:sz w:val="16"/>
                <w:szCs w:val="18"/>
              </w:rPr>
              <w:t>menciona</w:t>
            </w:r>
            <w:r w:rsidR="002C58FE" w:rsidRPr="00EF10F1">
              <w:rPr>
                <w:sz w:val="16"/>
                <w:szCs w:val="18"/>
              </w:rPr>
              <w:t xml:space="preserve"> en el tercer </w:t>
            </w:r>
            <w:r w:rsidR="00B07028" w:rsidRPr="00EF10F1">
              <w:rPr>
                <w:sz w:val="16"/>
                <w:szCs w:val="18"/>
              </w:rPr>
              <w:t>párrafo, que</w:t>
            </w:r>
            <w:r w:rsidR="00671F45" w:rsidRPr="00EF10F1">
              <w:rPr>
                <w:sz w:val="16"/>
                <w:szCs w:val="18"/>
              </w:rPr>
              <w:t xml:space="preserve"> se fortaleció el mecanismo </w:t>
            </w:r>
            <w:r w:rsidR="00B376A4" w:rsidRPr="00EF10F1">
              <w:rPr>
                <w:sz w:val="16"/>
                <w:szCs w:val="18"/>
              </w:rPr>
              <w:t>establecido en la Guía.</w:t>
            </w:r>
            <w:r w:rsidR="00671F45" w:rsidRPr="00EF10F1">
              <w:rPr>
                <w:sz w:val="16"/>
                <w:szCs w:val="18"/>
              </w:rPr>
              <w:t xml:space="preserve">  </w:t>
            </w:r>
          </w:p>
        </w:tc>
      </w:tr>
      <w:tr w:rsidR="00FB18FA" w:rsidRPr="00EF10F1" w:rsidTr="002764E3">
        <w:trPr>
          <w:trHeight w:val="1663"/>
        </w:trPr>
        <w:tc>
          <w:tcPr>
            <w:tcW w:w="567" w:type="dxa"/>
            <w:vAlign w:val="center"/>
          </w:tcPr>
          <w:p w:rsidR="00FB18FA" w:rsidRPr="00EF10F1" w:rsidRDefault="00FB18FA" w:rsidP="00B436CA">
            <w:pPr>
              <w:jc w:val="center"/>
              <w:rPr>
                <w:rFonts w:ascii="Arial" w:hAnsi="Arial" w:cs="Arial"/>
                <w:sz w:val="16"/>
                <w:szCs w:val="18"/>
              </w:rPr>
            </w:pPr>
            <w:r w:rsidRPr="00EF10F1">
              <w:rPr>
                <w:rFonts w:ascii="Arial" w:hAnsi="Arial" w:cs="Arial"/>
                <w:sz w:val="16"/>
                <w:szCs w:val="18"/>
              </w:rPr>
              <w:t>2</w:t>
            </w: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1. Objetivo</w:t>
            </w:r>
          </w:p>
        </w:tc>
        <w:tc>
          <w:tcPr>
            <w:tcW w:w="4898" w:type="dxa"/>
            <w:vAlign w:val="center"/>
          </w:tcPr>
          <w:p w:rsidR="00FB18FA" w:rsidRPr="00EF10F1" w:rsidRDefault="00FB18FA" w:rsidP="00B436CA">
            <w:pPr>
              <w:jc w:val="both"/>
              <w:rPr>
                <w:sz w:val="16"/>
                <w:szCs w:val="18"/>
              </w:rPr>
            </w:pPr>
            <w:r w:rsidRPr="00EF10F1">
              <w:rPr>
                <w:sz w:val="16"/>
                <w:szCs w:val="18"/>
              </w:rPr>
              <w:t>- Se sugiere eliminar la referencia de la consulta y publicación en la Normateca Interna, toda vez que está inmersa en la etapa que conforma el proceso de calidad regulatoria.</w:t>
            </w:r>
          </w:p>
          <w:p w:rsidR="00FB18FA" w:rsidRPr="00EF10F1" w:rsidRDefault="00FB18FA" w:rsidP="00B436CA">
            <w:pPr>
              <w:jc w:val="both"/>
              <w:rPr>
                <w:sz w:val="16"/>
                <w:szCs w:val="18"/>
              </w:rPr>
            </w:pPr>
            <w:r w:rsidRPr="00EF10F1">
              <w:rPr>
                <w:sz w:val="16"/>
                <w:szCs w:val="18"/>
              </w:rPr>
              <w:t xml:space="preserve">- Se propone fusionar los textos de: </w:t>
            </w:r>
            <w:r w:rsidRPr="00EF10F1">
              <w:rPr>
                <w:i/>
                <w:sz w:val="16"/>
                <w:szCs w:val="18"/>
              </w:rPr>
              <w:t>eliminación, permanencia sin cambios, actualización o emisión de nuevas normas</w:t>
            </w:r>
            <w:r w:rsidRPr="00EF10F1">
              <w:rPr>
                <w:sz w:val="16"/>
                <w:szCs w:val="18"/>
              </w:rPr>
              <w:t xml:space="preserve"> por el texto de </w:t>
            </w:r>
            <w:r w:rsidRPr="00EF10F1">
              <w:rPr>
                <w:i/>
                <w:sz w:val="16"/>
                <w:szCs w:val="18"/>
              </w:rPr>
              <w:t>simplificación</w:t>
            </w:r>
            <w:r w:rsidRPr="00EF10F1">
              <w:rPr>
                <w:sz w:val="16"/>
                <w:szCs w:val="18"/>
              </w:rPr>
              <w:t xml:space="preserve">. </w:t>
            </w:r>
          </w:p>
        </w:tc>
        <w:tc>
          <w:tcPr>
            <w:tcW w:w="4854" w:type="dxa"/>
          </w:tcPr>
          <w:p w:rsidR="00EF10F1" w:rsidRDefault="00EF10F1" w:rsidP="00B376A4">
            <w:pPr>
              <w:jc w:val="both"/>
              <w:rPr>
                <w:sz w:val="16"/>
                <w:szCs w:val="18"/>
              </w:rPr>
            </w:pPr>
          </w:p>
          <w:p w:rsidR="004A681B" w:rsidRPr="00EF10F1" w:rsidRDefault="004A681B" w:rsidP="00B376A4">
            <w:pPr>
              <w:jc w:val="both"/>
              <w:rPr>
                <w:sz w:val="16"/>
                <w:szCs w:val="18"/>
              </w:rPr>
            </w:pPr>
            <w:r w:rsidRPr="00EF10F1">
              <w:rPr>
                <w:sz w:val="16"/>
                <w:szCs w:val="18"/>
              </w:rPr>
              <w:t>- Atendido</w:t>
            </w:r>
            <w:r w:rsidR="00676A0C" w:rsidRPr="00EF10F1">
              <w:rPr>
                <w:sz w:val="16"/>
                <w:szCs w:val="18"/>
              </w:rPr>
              <w:t>.</w:t>
            </w:r>
            <w:r w:rsidRPr="00EF10F1">
              <w:rPr>
                <w:sz w:val="16"/>
                <w:szCs w:val="18"/>
              </w:rPr>
              <w:t xml:space="preserve"> </w:t>
            </w: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FB18FA" w:rsidRPr="00EF10F1" w:rsidRDefault="004A681B" w:rsidP="00B376A4">
            <w:pPr>
              <w:jc w:val="both"/>
              <w:rPr>
                <w:sz w:val="16"/>
                <w:szCs w:val="18"/>
              </w:rPr>
            </w:pPr>
            <w:r w:rsidRPr="00EF10F1">
              <w:rPr>
                <w:sz w:val="16"/>
                <w:szCs w:val="18"/>
              </w:rPr>
              <w:t xml:space="preserve">-  A fin de que los servidores públicos conozcan  a que nos referimos con el término “simplificación” se fortaleció el texto. </w:t>
            </w:r>
          </w:p>
        </w:tc>
      </w:tr>
      <w:tr w:rsidR="00FB18FA" w:rsidRPr="00EF10F1" w:rsidTr="002764E3">
        <w:trPr>
          <w:trHeight w:val="1002"/>
        </w:trPr>
        <w:tc>
          <w:tcPr>
            <w:tcW w:w="567" w:type="dxa"/>
            <w:vAlign w:val="center"/>
          </w:tcPr>
          <w:p w:rsidR="00FB18FA" w:rsidRPr="00EF10F1" w:rsidRDefault="00FB18FA" w:rsidP="00B436CA">
            <w:pPr>
              <w:jc w:val="center"/>
              <w:rPr>
                <w:rFonts w:ascii="Arial" w:hAnsi="Arial" w:cs="Arial"/>
                <w:sz w:val="16"/>
                <w:szCs w:val="18"/>
              </w:rPr>
            </w:pPr>
            <w:r w:rsidRPr="00EF10F1">
              <w:rPr>
                <w:rFonts w:ascii="Arial" w:hAnsi="Arial" w:cs="Arial"/>
                <w:sz w:val="16"/>
                <w:szCs w:val="18"/>
              </w:rPr>
              <w:t>4</w:t>
            </w: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3. Ámbito de aplicación</w:t>
            </w:r>
          </w:p>
        </w:tc>
        <w:tc>
          <w:tcPr>
            <w:tcW w:w="4898" w:type="dxa"/>
            <w:vAlign w:val="center"/>
          </w:tcPr>
          <w:p w:rsidR="00FB18FA" w:rsidRDefault="00FB18FA" w:rsidP="00CF7B8B">
            <w:pPr>
              <w:jc w:val="both"/>
              <w:rPr>
                <w:sz w:val="16"/>
                <w:szCs w:val="18"/>
              </w:rPr>
            </w:pPr>
            <w:r w:rsidRPr="00EF10F1">
              <w:rPr>
                <w:sz w:val="16"/>
                <w:szCs w:val="18"/>
              </w:rPr>
              <w:t xml:space="preserve">- Fortalecer la redacción, toda vez que se entiende que se enlistará un conjunto de instancias más amplio. </w:t>
            </w:r>
          </w:p>
          <w:p w:rsidR="00EF10F1" w:rsidRPr="00EF10F1" w:rsidRDefault="00EF10F1" w:rsidP="00CF7B8B">
            <w:pPr>
              <w:jc w:val="both"/>
              <w:rPr>
                <w:sz w:val="16"/>
                <w:szCs w:val="18"/>
              </w:rPr>
            </w:pPr>
          </w:p>
          <w:p w:rsidR="00FB18FA" w:rsidRPr="00EF10F1" w:rsidRDefault="00FB18FA" w:rsidP="00CF7B8B">
            <w:pPr>
              <w:jc w:val="both"/>
              <w:rPr>
                <w:sz w:val="16"/>
                <w:szCs w:val="18"/>
              </w:rPr>
            </w:pPr>
            <w:r w:rsidRPr="00EF10F1">
              <w:rPr>
                <w:sz w:val="16"/>
                <w:szCs w:val="18"/>
              </w:rPr>
              <w:t>- Clarificar si la observancia obligatoria considerará a los Organismos Desconcentrados, toda vez que se encuentran documentos normativos en el repositorio electrónico.</w:t>
            </w:r>
          </w:p>
          <w:p w:rsidR="00B376A4" w:rsidRPr="00EF10F1" w:rsidRDefault="00B376A4" w:rsidP="00CF7B8B">
            <w:pPr>
              <w:jc w:val="both"/>
              <w:rPr>
                <w:sz w:val="16"/>
                <w:szCs w:val="18"/>
              </w:rPr>
            </w:pPr>
          </w:p>
        </w:tc>
        <w:tc>
          <w:tcPr>
            <w:tcW w:w="4854" w:type="dxa"/>
          </w:tcPr>
          <w:p w:rsidR="00FB18FA" w:rsidRDefault="00071CE0" w:rsidP="00B376A4">
            <w:pPr>
              <w:jc w:val="both"/>
              <w:rPr>
                <w:sz w:val="16"/>
                <w:szCs w:val="18"/>
              </w:rPr>
            </w:pPr>
            <w:r w:rsidRPr="00EF10F1">
              <w:rPr>
                <w:sz w:val="16"/>
                <w:szCs w:val="18"/>
              </w:rPr>
              <w:t>- Se limita el Ámbito de aplicación para las Unidades Administrativas Centrales y Centros SCT.</w:t>
            </w:r>
            <w:r w:rsidR="00FF5EA9">
              <w:rPr>
                <w:sz w:val="16"/>
                <w:szCs w:val="18"/>
              </w:rPr>
              <w:t xml:space="preserve"> </w:t>
            </w:r>
            <w:r w:rsidR="00FF5EA9" w:rsidRPr="00FF5EA9">
              <w:rPr>
                <w:sz w:val="16"/>
                <w:szCs w:val="18"/>
              </w:rPr>
              <w:t>Se agregó en la segunda línea del párrafo la letra “y” antes de Centros SCT.</w:t>
            </w:r>
          </w:p>
          <w:p w:rsidR="00EF10F1" w:rsidRPr="00EF10F1" w:rsidRDefault="00EF10F1" w:rsidP="00B376A4">
            <w:pPr>
              <w:jc w:val="both"/>
              <w:rPr>
                <w:sz w:val="16"/>
                <w:szCs w:val="18"/>
              </w:rPr>
            </w:pPr>
          </w:p>
          <w:p w:rsidR="00071CE0" w:rsidRDefault="00071CE0" w:rsidP="00B376A4">
            <w:pPr>
              <w:jc w:val="both"/>
              <w:rPr>
                <w:sz w:val="16"/>
                <w:szCs w:val="18"/>
              </w:rPr>
            </w:pPr>
            <w:r w:rsidRPr="00EF10F1">
              <w:rPr>
                <w:sz w:val="16"/>
                <w:szCs w:val="18"/>
              </w:rPr>
              <w:t xml:space="preserve">- Los Órganos Desconcentrados poseen su propio mecanismo </w:t>
            </w:r>
            <w:r w:rsidR="00CD0FF1" w:rsidRPr="00EF10F1">
              <w:rPr>
                <w:sz w:val="16"/>
                <w:szCs w:val="18"/>
              </w:rPr>
              <w:t xml:space="preserve">de simplificación, únicamente se tiene en la Normateca Interna sus manuales de organización y procedimientos por ser atribución del Oficial Mayor. </w:t>
            </w:r>
            <w:r w:rsidRPr="00EF10F1">
              <w:rPr>
                <w:sz w:val="16"/>
                <w:szCs w:val="18"/>
              </w:rPr>
              <w:t xml:space="preserve"> </w:t>
            </w:r>
          </w:p>
          <w:p w:rsidR="00EF10F1" w:rsidRPr="00EF10F1" w:rsidRDefault="00EF10F1" w:rsidP="00B376A4">
            <w:pPr>
              <w:jc w:val="both"/>
              <w:rPr>
                <w:sz w:val="16"/>
                <w:szCs w:val="18"/>
              </w:rPr>
            </w:pPr>
          </w:p>
        </w:tc>
      </w:tr>
      <w:tr w:rsidR="00FB18FA" w:rsidRPr="00EF10F1" w:rsidTr="002764E3">
        <w:trPr>
          <w:trHeight w:val="387"/>
        </w:trPr>
        <w:tc>
          <w:tcPr>
            <w:tcW w:w="567" w:type="dxa"/>
            <w:vAlign w:val="center"/>
          </w:tcPr>
          <w:p w:rsidR="00FB18FA" w:rsidRPr="00EF10F1" w:rsidRDefault="00FB18FA" w:rsidP="00B436CA">
            <w:pPr>
              <w:jc w:val="center"/>
              <w:rPr>
                <w:rFonts w:ascii="Arial" w:hAnsi="Arial" w:cs="Arial"/>
                <w:sz w:val="16"/>
                <w:szCs w:val="18"/>
              </w:rPr>
            </w:pPr>
            <w:r w:rsidRPr="00EF10F1">
              <w:rPr>
                <w:rFonts w:ascii="Arial" w:hAnsi="Arial" w:cs="Arial"/>
                <w:sz w:val="16"/>
                <w:szCs w:val="18"/>
              </w:rPr>
              <w:t>5</w:t>
            </w: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4. Definiciones</w:t>
            </w:r>
            <w:r w:rsidRPr="00EF10F1">
              <w:rPr>
                <w:rFonts w:ascii="Soberana Sans" w:hAnsi="Soberana Sans" w:cs="Times New Roman"/>
                <w:sz w:val="16"/>
                <w:szCs w:val="18"/>
              </w:rPr>
              <w:t xml:space="preserve"> </w:t>
            </w:r>
          </w:p>
        </w:tc>
        <w:tc>
          <w:tcPr>
            <w:tcW w:w="4898" w:type="dxa"/>
            <w:vAlign w:val="center"/>
          </w:tcPr>
          <w:p w:rsidR="00FB18FA" w:rsidRPr="00EF10F1" w:rsidRDefault="00FB18FA" w:rsidP="001C3232">
            <w:pPr>
              <w:jc w:val="both"/>
              <w:rPr>
                <w:sz w:val="16"/>
                <w:szCs w:val="18"/>
              </w:rPr>
            </w:pPr>
            <w:r w:rsidRPr="00EF10F1">
              <w:rPr>
                <w:sz w:val="16"/>
                <w:szCs w:val="18"/>
              </w:rPr>
              <w:t xml:space="preserve">- </w:t>
            </w:r>
            <w:r w:rsidRPr="00EF10F1">
              <w:rPr>
                <w:b/>
                <w:sz w:val="16"/>
                <w:szCs w:val="18"/>
              </w:rPr>
              <w:t>Grupo de Trabajo:</w:t>
            </w:r>
            <w:r w:rsidRPr="00EF10F1">
              <w:rPr>
                <w:sz w:val="16"/>
                <w:szCs w:val="18"/>
              </w:rPr>
              <w:t xml:space="preserve"> Fortalecer la definición, toda vez que no es suficientemente clara su integración o eliminar la figura </w:t>
            </w:r>
            <w:r w:rsidRPr="00EF10F1">
              <w:rPr>
                <w:sz w:val="16"/>
                <w:szCs w:val="18"/>
              </w:rPr>
              <w:lastRenderedPageBreak/>
              <w:t>considerando como Grupo de Trabajo a las Unidades Administrativas de Apoyo-</w:t>
            </w:r>
          </w:p>
          <w:p w:rsidR="00FB18FA" w:rsidRPr="00EF10F1" w:rsidRDefault="00FB18FA" w:rsidP="00B436CA">
            <w:pPr>
              <w:jc w:val="both"/>
              <w:rPr>
                <w:sz w:val="16"/>
                <w:szCs w:val="18"/>
              </w:rPr>
            </w:pPr>
            <w:r w:rsidRPr="00EF10F1">
              <w:rPr>
                <w:b/>
                <w:sz w:val="16"/>
                <w:szCs w:val="18"/>
              </w:rPr>
              <w:t>Mejora Regulatoria Interna:</w:t>
            </w:r>
            <w:r w:rsidRPr="00EF10F1">
              <w:rPr>
                <w:sz w:val="16"/>
                <w:szCs w:val="18"/>
              </w:rPr>
              <w:t xml:space="preserve"> Se sugiere: El ciclo (…) para incrementar la calidad de la regulación y contribuir al cumplimiento de los objetivos institucionales.</w:t>
            </w:r>
          </w:p>
          <w:p w:rsidR="00FB18FA" w:rsidRPr="00EF10F1" w:rsidRDefault="00FB18FA" w:rsidP="00B436CA">
            <w:pPr>
              <w:jc w:val="both"/>
              <w:rPr>
                <w:sz w:val="16"/>
                <w:szCs w:val="18"/>
              </w:rPr>
            </w:pPr>
            <w:r w:rsidRPr="00EF10F1">
              <w:rPr>
                <w:b/>
                <w:sz w:val="16"/>
                <w:szCs w:val="18"/>
              </w:rPr>
              <w:t>Norma Interna Administrativa (NIA):</w:t>
            </w:r>
            <w:r w:rsidRPr="00EF10F1">
              <w:rPr>
                <w:sz w:val="16"/>
                <w:szCs w:val="18"/>
              </w:rPr>
              <w:t xml:space="preserve"> Dice: tecnologías de la información, comunicaciones. Debe decir: tecnologías de la información y comunicaciones.</w:t>
            </w:r>
          </w:p>
          <w:p w:rsidR="00FB18FA" w:rsidRPr="00EF10F1" w:rsidRDefault="00FB18FA" w:rsidP="004E7759">
            <w:pPr>
              <w:jc w:val="both"/>
              <w:rPr>
                <w:sz w:val="16"/>
                <w:szCs w:val="18"/>
              </w:rPr>
            </w:pPr>
            <w:r w:rsidRPr="00EF10F1">
              <w:rPr>
                <w:b/>
                <w:sz w:val="16"/>
                <w:szCs w:val="18"/>
              </w:rPr>
              <w:t xml:space="preserve">Unidad Administrativa Emisora (UAE): </w:t>
            </w:r>
            <w:r w:rsidRPr="00EF10F1">
              <w:rPr>
                <w:sz w:val="16"/>
                <w:szCs w:val="18"/>
              </w:rPr>
              <w:t>Se sugiere: Unidades Administrativas que cuentan con las atribuciones para proponer y emitir NIA´s o NIS.</w:t>
            </w:r>
          </w:p>
          <w:p w:rsidR="00B376A4" w:rsidRPr="00EF10F1" w:rsidRDefault="00B376A4" w:rsidP="004E7759">
            <w:pPr>
              <w:jc w:val="both"/>
              <w:rPr>
                <w:sz w:val="16"/>
                <w:szCs w:val="18"/>
              </w:rPr>
            </w:pPr>
          </w:p>
          <w:p w:rsidR="00FB18FA" w:rsidRPr="00EF10F1" w:rsidRDefault="00FB18FA" w:rsidP="004E7759">
            <w:pPr>
              <w:jc w:val="both"/>
              <w:rPr>
                <w:sz w:val="16"/>
                <w:szCs w:val="18"/>
              </w:rPr>
            </w:pPr>
            <w:r w:rsidRPr="00EF10F1">
              <w:rPr>
                <w:b/>
                <w:sz w:val="16"/>
                <w:szCs w:val="18"/>
              </w:rPr>
              <w:t>Unidad Administrativa Promovente (UAP):</w:t>
            </w:r>
            <w:r w:rsidRPr="00EF10F1">
              <w:rPr>
                <w:sz w:val="16"/>
                <w:szCs w:val="18"/>
              </w:rPr>
              <w:t xml:space="preserve"> Se sugiere: Unidades Administrativas que conforme a sus facultades proponen </w:t>
            </w:r>
            <w:r w:rsidRPr="00EF10F1">
              <w:rPr>
                <w:i/>
                <w:sz w:val="16"/>
                <w:szCs w:val="18"/>
              </w:rPr>
              <w:t>a las UAE la eliminación, permanencia sin cambios, actualización o emisión de una nueva norma interna.</w:t>
            </w:r>
          </w:p>
          <w:p w:rsidR="00FB18FA" w:rsidRPr="00EF10F1" w:rsidRDefault="00FB18FA" w:rsidP="00B436CA">
            <w:pPr>
              <w:jc w:val="both"/>
              <w:rPr>
                <w:sz w:val="16"/>
                <w:szCs w:val="18"/>
              </w:rPr>
            </w:pPr>
            <w:r w:rsidRPr="00EF10F1">
              <w:rPr>
                <w:sz w:val="16"/>
                <w:szCs w:val="18"/>
              </w:rPr>
              <w:t xml:space="preserve">- </w:t>
            </w:r>
            <w:r w:rsidRPr="00EF10F1">
              <w:rPr>
                <w:b/>
                <w:sz w:val="16"/>
                <w:szCs w:val="18"/>
              </w:rPr>
              <w:t>Unidad Administrativas de Apoyo:</w:t>
            </w:r>
            <w:r w:rsidRPr="00EF10F1">
              <w:rPr>
                <w:sz w:val="16"/>
                <w:szCs w:val="18"/>
              </w:rPr>
              <w:t xml:space="preserve"> Se sugiere:</w:t>
            </w:r>
            <w:r w:rsidRPr="00EF10F1">
              <w:rPr>
                <w:b/>
                <w:sz w:val="16"/>
                <w:szCs w:val="18"/>
              </w:rPr>
              <w:t xml:space="preserve"> Grupo de Trabajo: </w:t>
            </w:r>
            <w:r w:rsidRPr="00EF10F1">
              <w:rPr>
                <w:sz w:val="16"/>
                <w:szCs w:val="18"/>
              </w:rPr>
              <w:t>Unidades Administrativas que cuentan con las atribuciones en el Reglamento Interior para opinar y dictaminar los anteproyectos de las disposiciones internas, así como la modificación y/o cancelación de las vigentes o, en su caso, expedición de nuevas normas. La Oficialía Mayor (…)</w:t>
            </w:r>
          </w:p>
          <w:p w:rsidR="00B376A4" w:rsidRPr="00EF10F1" w:rsidRDefault="00B376A4" w:rsidP="00B436CA">
            <w:pPr>
              <w:jc w:val="both"/>
              <w:rPr>
                <w:sz w:val="16"/>
                <w:szCs w:val="18"/>
              </w:rPr>
            </w:pPr>
          </w:p>
          <w:p w:rsidR="00FB18FA" w:rsidRPr="00EF10F1" w:rsidRDefault="00FB18FA" w:rsidP="00B436CA">
            <w:pPr>
              <w:jc w:val="both"/>
              <w:rPr>
                <w:sz w:val="16"/>
                <w:szCs w:val="18"/>
              </w:rPr>
            </w:pPr>
            <w:r w:rsidRPr="00EF10F1">
              <w:rPr>
                <w:sz w:val="16"/>
                <w:szCs w:val="18"/>
              </w:rPr>
              <w:t xml:space="preserve">- </w:t>
            </w:r>
            <w:r w:rsidRPr="00EF10F1">
              <w:rPr>
                <w:b/>
                <w:sz w:val="16"/>
                <w:szCs w:val="18"/>
              </w:rPr>
              <w:t>Grupo de Interés (GI):</w:t>
            </w:r>
            <w:r w:rsidRPr="00EF10F1">
              <w:rPr>
                <w:sz w:val="16"/>
                <w:szCs w:val="18"/>
              </w:rPr>
              <w:t xml:space="preserve"> Clarificar la definición, toda vez que se presume que su participación se vincula directamente al interior de las UAE y UAP durante el proceso de simplificación normativa. Asimismo, en el contenido del documento se debe clarificar su participación y aquellos elementos que acrediten la evidencia de su actuación. </w:t>
            </w:r>
          </w:p>
          <w:p w:rsidR="00FB18FA" w:rsidRPr="00EF10F1" w:rsidRDefault="00FB18FA" w:rsidP="00B436CA">
            <w:pPr>
              <w:jc w:val="both"/>
              <w:rPr>
                <w:sz w:val="16"/>
                <w:szCs w:val="18"/>
              </w:rPr>
            </w:pPr>
            <w:r w:rsidRPr="00EF10F1">
              <w:rPr>
                <w:sz w:val="16"/>
                <w:szCs w:val="18"/>
              </w:rPr>
              <w:t xml:space="preserve">- Se sugiere incluir </w:t>
            </w:r>
          </w:p>
          <w:p w:rsidR="00FB18FA" w:rsidRPr="00EF10F1" w:rsidRDefault="00FB18FA" w:rsidP="0062617E">
            <w:pPr>
              <w:jc w:val="both"/>
              <w:rPr>
                <w:sz w:val="16"/>
                <w:szCs w:val="18"/>
              </w:rPr>
            </w:pPr>
            <w:r w:rsidRPr="00EF10F1">
              <w:rPr>
                <w:b/>
                <w:sz w:val="16"/>
                <w:szCs w:val="18"/>
              </w:rPr>
              <w:t>Anteproyecto</w:t>
            </w:r>
            <w:r w:rsidRPr="00EF10F1">
              <w:rPr>
                <w:sz w:val="16"/>
                <w:szCs w:val="18"/>
              </w:rPr>
              <w:t>: Documento elaborado por la UAE para crear y/o actualizar una norma vigente o emitir una nueva, para ser sometido a revisión y dictamen del Grupo de Trabajo.</w:t>
            </w:r>
          </w:p>
          <w:p w:rsidR="00FB18FA" w:rsidRPr="00EF10F1" w:rsidRDefault="00FB18FA" w:rsidP="0062617E">
            <w:pPr>
              <w:jc w:val="both"/>
              <w:rPr>
                <w:sz w:val="16"/>
                <w:szCs w:val="18"/>
              </w:rPr>
            </w:pPr>
            <w:r w:rsidRPr="00EF10F1">
              <w:rPr>
                <w:b/>
                <w:sz w:val="16"/>
                <w:szCs w:val="18"/>
              </w:rPr>
              <w:lastRenderedPageBreak/>
              <w:t>Proyecto</w:t>
            </w:r>
            <w:r w:rsidRPr="00EF10F1">
              <w:rPr>
                <w:sz w:val="16"/>
                <w:szCs w:val="18"/>
              </w:rPr>
              <w:t>: Documento definitivo al cual se le han incorporado las observaciones del Grupo de Trabajo durante el proceso de mejora regulatoria.</w:t>
            </w:r>
          </w:p>
        </w:tc>
        <w:tc>
          <w:tcPr>
            <w:tcW w:w="4854" w:type="dxa"/>
          </w:tcPr>
          <w:p w:rsidR="00B376A4" w:rsidRPr="00EF10F1" w:rsidRDefault="00676A0C" w:rsidP="00B376A4">
            <w:pPr>
              <w:jc w:val="both"/>
              <w:rPr>
                <w:sz w:val="16"/>
                <w:szCs w:val="18"/>
              </w:rPr>
            </w:pPr>
            <w:r w:rsidRPr="00EF10F1">
              <w:rPr>
                <w:sz w:val="16"/>
                <w:szCs w:val="18"/>
              </w:rPr>
              <w:lastRenderedPageBreak/>
              <w:t xml:space="preserve">- </w:t>
            </w:r>
            <w:r w:rsidR="00692B4B" w:rsidRPr="00EF10F1">
              <w:rPr>
                <w:sz w:val="16"/>
                <w:szCs w:val="18"/>
              </w:rPr>
              <w:t>Se fortaleció la definición</w:t>
            </w:r>
            <w:r w:rsidR="00B376A4" w:rsidRPr="00EF10F1">
              <w:rPr>
                <w:sz w:val="16"/>
                <w:szCs w:val="18"/>
              </w:rPr>
              <w:t>.</w:t>
            </w: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EF10F1" w:rsidRPr="00EF10F1" w:rsidRDefault="00676A0C" w:rsidP="00B376A4">
            <w:pPr>
              <w:jc w:val="both"/>
              <w:rPr>
                <w:sz w:val="16"/>
                <w:szCs w:val="18"/>
              </w:rPr>
            </w:pPr>
            <w:r w:rsidRPr="00EF10F1">
              <w:rPr>
                <w:sz w:val="16"/>
                <w:szCs w:val="18"/>
              </w:rPr>
              <w:t xml:space="preserve"> </w:t>
            </w:r>
            <w:r w:rsidR="00B376A4" w:rsidRPr="00EF10F1">
              <w:rPr>
                <w:sz w:val="16"/>
                <w:szCs w:val="18"/>
              </w:rPr>
              <w:t>-</w:t>
            </w:r>
            <w:r w:rsidRPr="00EF10F1">
              <w:rPr>
                <w:sz w:val="16"/>
                <w:szCs w:val="18"/>
              </w:rPr>
              <w:t xml:space="preserve">Atendido. </w:t>
            </w: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AD4FB3" w:rsidRPr="00EF10F1" w:rsidRDefault="00AD4FB3" w:rsidP="00B376A4">
            <w:pPr>
              <w:jc w:val="both"/>
              <w:rPr>
                <w:sz w:val="16"/>
                <w:szCs w:val="18"/>
              </w:rPr>
            </w:pPr>
            <w:r w:rsidRPr="00EF10F1">
              <w:rPr>
                <w:sz w:val="16"/>
                <w:szCs w:val="18"/>
              </w:rPr>
              <w:t>- Atendido.</w:t>
            </w: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A01D11" w:rsidRPr="00EF10F1" w:rsidRDefault="00AD4FB3" w:rsidP="00B376A4">
            <w:pPr>
              <w:jc w:val="both"/>
              <w:rPr>
                <w:sz w:val="16"/>
                <w:szCs w:val="18"/>
              </w:rPr>
            </w:pPr>
            <w:r w:rsidRPr="00EF10F1">
              <w:rPr>
                <w:sz w:val="16"/>
                <w:szCs w:val="18"/>
              </w:rPr>
              <w:t xml:space="preserve">- No se considera viable incorporar la palabra “proponer”, ya que podría confundirse con la definición de la UAP, al final de la definición se agregó internas, ya que con ellos se define a las NIA´s y a las NIS.  </w:t>
            </w:r>
          </w:p>
          <w:p w:rsidR="00A01D11" w:rsidRPr="00EF10F1" w:rsidRDefault="00A01D11" w:rsidP="00B376A4">
            <w:pPr>
              <w:jc w:val="both"/>
              <w:rPr>
                <w:sz w:val="16"/>
                <w:szCs w:val="18"/>
              </w:rPr>
            </w:pPr>
            <w:r w:rsidRPr="00EF10F1">
              <w:rPr>
                <w:sz w:val="16"/>
                <w:szCs w:val="18"/>
              </w:rPr>
              <w:t>- Atendido</w:t>
            </w:r>
            <w:r w:rsidR="00906CF8" w:rsidRPr="00EF10F1">
              <w:rPr>
                <w:sz w:val="16"/>
                <w:szCs w:val="18"/>
              </w:rPr>
              <w:t>.</w:t>
            </w:r>
            <w:r w:rsidRPr="00EF10F1">
              <w:rPr>
                <w:sz w:val="16"/>
                <w:szCs w:val="18"/>
              </w:rPr>
              <w:t xml:space="preserve"> </w:t>
            </w: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906CF8" w:rsidRPr="00EF10F1" w:rsidRDefault="00A01D11" w:rsidP="00B376A4">
            <w:pPr>
              <w:jc w:val="both"/>
              <w:rPr>
                <w:sz w:val="16"/>
                <w:szCs w:val="18"/>
              </w:rPr>
            </w:pPr>
            <w:r w:rsidRPr="00EF10F1">
              <w:rPr>
                <w:sz w:val="16"/>
                <w:szCs w:val="18"/>
              </w:rPr>
              <w:t xml:space="preserve">- </w:t>
            </w:r>
            <w:r w:rsidR="005A46AC" w:rsidRPr="00EF10F1">
              <w:rPr>
                <w:sz w:val="16"/>
                <w:szCs w:val="18"/>
              </w:rPr>
              <w:t xml:space="preserve">Atendido, sin embargo se dejó Unidades Administrativas de Apoyo, ya que tiene diferencia </w:t>
            </w:r>
            <w:r w:rsidR="00906CF8" w:rsidRPr="00EF10F1">
              <w:rPr>
                <w:sz w:val="16"/>
                <w:szCs w:val="18"/>
              </w:rPr>
              <w:t xml:space="preserve">con Grupo de Trabajo con la clarificación que se realizó. </w:t>
            </w: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A01D11" w:rsidRPr="00EF10F1" w:rsidRDefault="00B376A4" w:rsidP="00B376A4">
            <w:pPr>
              <w:jc w:val="both"/>
              <w:rPr>
                <w:sz w:val="16"/>
                <w:szCs w:val="18"/>
              </w:rPr>
            </w:pPr>
            <w:r w:rsidRPr="00EF10F1">
              <w:rPr>
                <w:sz w:val="16"/>
                <w:szCs w:val="18"/>
              </w:rPr>
              <w:t>- Se fortaleció la definición, y se colocó de bajo de la definición de Calidad Regulatoria, para mantener el orden alfabético.</w:t>
            </w: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C63A76" w:rsidRPr="00EF10F1" w:rsidRDefault="00C63A76" w:rsidP="00B376A4">
            <w:pPr>
              <w:jc w:val="both"/>
              <w:rPr>
                <w:sz w:val="16"/>
                <w:szCs w:val="18"/>
              </w:rPr>
            </w:pPr>
            <w:r w:rsidRPr="00EF10F1">
              <w:rPr>
                <w:sz w:val="16"/>
                <w:szCs w:val="18"/>
              </w:rPr>
              <w:t xml:space="preserve">- </w:t>
            </w:r>
            <w:r w:rsidR="00B376A4" w:rsidRPr="00EF10F1">
              <w:rPr>
                <w:sz w:val="16"/>
                <w:szCs w:val="18"/>
              </w:rPr>
              <w:t>Se incluyó.</w:t>
            </w:r>
          </w:p>
          <w:p w:rsidR="00B376A4" w:rsidRPr="00EF10F1" w:rsidRDefault="00B376A4" w:rsidP="00B376A4">
            <w:pPr>
              <w:jc w:val="both"/>
              <w:rPr>
                <w:sz w:val="16"/>
                <w:szCs w:val="18"/>
              </w:rPr>
            </w:pPr>
          </w:p>
          <w:p w:rsidR="00B376A4" w:rsidRPr="00EF10F1" w:rsidRDefault="00B376A4" w:rsidP="00B376A4">
            <w:pPr>
              <w:jc w:val="both"/>
              <w:rPr>
                <w:sz w:val="16"/>
                <w:szCs w:val="18"/>
              </w:rPr>
            </w:pPr>
          </w:p>
          <w:p w:rsidR="00C63A76" w:rsidRDefault="00C63A76" w:rsidP="00B376A4">
            <w:pPr>
              <w:jc w:val="both"/>
              <w:rPr>
                <w:sz w:val="16"/>
                <w:szCs w:val="18"/>
              </w:rPr>
            </w:pPr>
            <w:r w:rsidRPr="00EF10F1">
              <w:rPr>
                <w:sz w:val="16"/>
                <w:szCs w:val="18"/>
              </w:rPr>
              <w:t xml:space="preserve">- </w:t>
            </w:r>
            <w:r w:rsidR="00B376A4" w:rsidRPr="00EF10F1">
              <w:rPr>
                <w:sz w:val="16"/>
                <w:szCs w:val="18"/>
              </w:rPr>
              <w:t>Se incluyó.</w:t>
            </w:r>
          </w:p>
          <w:p w:rsidR="00FF5EA9" w:rsidRDefault="00FF5EA9" w:rsidP="00B376A4">
            <w:pPr>
              <w:jc w:val="both"/>
              <w:rPr>
                <w:sz w:val="16"/>
                <w:szCs w:val="18"/>
              </w:rPr>
            </w:pPr>
          </w:p>
          <w:p w:rsidR="00FF5EA9" w:rsidRDefault="00FF5EA9" w:rsidP="00FF5EA9">
            <w:pPr>
              <w:jc w:val="both"/>
              <w:rPr>
                <w:sz w:val="16"/>
                <w:szCs w:val="18"/>
              </w:rPr>
            </w:pPr>
            <w:r w:rsidRPr="00FF5EA9">
              <w:rPr>
                <w:sz w:val="16"/>
                <w:szCs w:val="18"/>
              </w:rPr>
              <w:t>Adicionalmente, s</w:t>
            </w:r>
            <w:r w:rsidRPr="00FF5EA9">
              <w:rPr>
                <w:sz w:val="16"/>
                <w:szCs w:val="18"/>
              </w:rPr>
              <w:t>e fortaleció el apartado de definiciones mejorando redacción y puntuación en las definiciones Norma Interna Sustantiva (NIS), Normateca Interna, Programa de Trabajo de Revisión de Normas Internas (PTRNI) y Unidad Administrativa Coordinadora (UAC</w:t>
            </w:r>
            <w:r w:rsidRPr="00FF5EA9">
              <w:rPr>
                <w:sz w:val="16"/>
                <w:szCs w:val="18"/>
              </w:rPr>
              <w:t>.</w:t>
            </w:r>
          </w:p>
          <w:p w:rsidR="00FF5EA9" w:rsidRPr="00EF10F1" w:rsidRDefault="00FF5EA9" w:rsidP="00B376A4">
            <w:pPr>
              <w:jc w:val="both"/>
              <w:rPr>
                <w:sz w:val="16"/>
                <w:szCs w:val="18"/>
              </w:rPr>
            </w:pPr>
          </w:p>
        </w:tc>
      </w:tr>
      <w:tr w:rsidR="00FB18FA" w:rsidRPr="00EF10F1" w:rsidTr="002764E3">
        <w:trPr>
          <w:trHeight w:val="681"/>
        </w:trPr>
        <w:tc>
          <w:tcPr>
            <w:tcW w:w="567" w:type="dxa"/>
            <w:vAlign w:val="center"/>
          </w:tcPr>
          <w:p w:rsidR="00FB18FA" w:rsidRPr="00EF10F1" w:rsidRDefault="00FB18FA" w:rsidP="00B436CA">
            <w:pPr>
              <w:jc w:val="center"/>
              <w:rPr>
                <w:rFonts w:ascii="Arial" w:hAnsi="Arial" w:cs="Arial"/>
                <w:sz w:val="16"/>
                <w:szCs w:val="18"/>
              </w:rPr>
            </w:pPr>
            <w:r w:rsidRPr="00EF10F1">
              <w:rPr>
                <w:rFonts w:ascii="Arial" w:hAnsi="Arial" w:cs="Arial"/>
                <w:sz w:val="16"/>
                <w:szCs w:val="18"/>
              </w:rPr>
              <w:lastRenderedPageBreak/>
              <w:t>6</w:t>
            </w: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5. Disposiciones generales</w:t>
            </w:r>
          </w:p>
        </w:tc>
        <w:tc>
          <w:tcPr>
            <w:tcW w:w="4898" w:type="dxa"/>
            <w:vAlign w:val="center"/>
          </w:tcPr>
          <w:p w:rsidR="00FB18FA" w:rsidRPr="00EF10F1" w:rsidRDefault="00FB18FA" w:rsidP="007F6628">
            <w:pPr>
              <w:jc w:val="both"/>
              <w:rPr>
                <w:sz w:val="16"/>
                <w:szCs w:val="18"/>
              </w:rPr>
            </w:pPr>
            <w:r w:rsidRPr="00EF10F1">
              <w:rPr>
                <w:sz w:val="16"/>
                <w:szCs w:val="18"/>
              </w:rPr>
              <w:t>- Señalar que el PTRNI se elaborará y aprobará durante el primer bimestre de cada año.</w:t>
            </w:r>
          </w:p>
          <w:p w:rsidR="00FB18FA" w:rsidRPr="00EF10F1" w:rsidRDefault="00FB18FA" w:rsidP="00B436CA">
            <w:pPr>
              <w:jc w:val="both"/>
              <w:rPr>
                <w:sz w:val="16"/>
                <w:szCs w:val="18"/>
              </w:rPr>
            </w:pPr>
            <w:r w:rsidRPr="00EF10F1">
              <w:rPr>
                <w:sz w:val="16"/>
                <w:szCs w:val="18"/>
              </w:rPr>
              <w:t xml:space="preserve">- En el segundo párrafo, último renglón, se sugiere eliminar las palabras </w:t>
            </w:r>
            <w:r w:rsidRPr="00EF10F1">
              <w:rPr>
                <w:sz w:val="16"/>
                <w:szCs w:val="18"/>
                <w:u w:val="single"/>
              </w:rPr>
              <w:t>revisión de las normas</w:t>
            </w:r>
            <w:r w:rsidRPr="00EF10F1">
              <w:rPr>
                <w:sz w:val="16"/>
                <w:szCs w:val="18"/>
              </w:rPr>
              <w:t xml:space="preserve"> y adicionar la palabra </w:t>
            </w:r>
            <w:r w:rsidRPr="00EF10F1">
              <w:rPr>
                <w:sz w:val="16"/>
                <w:szCs w:val="18"/>
                <w:u w:val="single"/>
              </w:rPr>
              <w:t>simplificación.</w:t>
            </w:r>
          </w:p>
          <w:p w:rsidR="00FB18FA" w:rsidRPr="00EF10F1" w:rsidRDefault="00FB18FA" w:rsidP="00B436CA">
            <w:pPr>
              <w:jc w:val="both"/>
              <w:rPr>
                <w:sz w:val="16"/>
                <w:szCs w:val="18"/>
              </w:rPr>
            </w:pPr>
            <w:r w:rsidRPr="00EF10F1">
              <w:rPr>
                <w:sz w:val="16"/>
                <w:szCs w:val="18"/>
              </w:rPr>
              <w:t>- Definir el nivel mínimo de responsabilidad para el perfil de Enlace. (Director de Área), así como de los servidores públicos que integran las Unidades Administrativas de Apoyo (sugiero consistencia con los señalados en el SANI). Asimismo, señalar que su designación será por escrito por parte del Titular de la Unidad Administrativa.</w:t>
            </w:r>
          </w:p>
          <w:p w:rsidR="00FB18FA" w:rsidRPr="00EF10F1" w:rsidRDefault="00FB18FA" w:rsidP="007F6628">
            <w:pPr>
              <w:jc w:val="both"/>
              <w:rPr>
                <w:sz w:val="16"/>
                <w:szCs w:val="18"/>
              </w:rPr>
            </w:pPr>
            <w:r w:rsidRPr="00EF10F1">
              <w:rPr>
                <w:sz w:val="16"/>
                <w:szCs w:val="18"/>
              </w:rPr>
              <w:t>- Definir los criterios en que la DGPOP revisará y seleccionará las normas internas identificadas que formaran parte del inventario en el PTRNI. Asimismo, considerar el pronunciamiento previo de las Unidades Administrativas para la creación o actualización de normas internas no identificadas en el inventario.</w:t>
            </w:r>
          </w:p>
          <w:p w:rsidR="00B376A4" w:rsidRPr="00EF10F1" w:rsidRDefault="00B376A4" w:rsidP="007F6628">
            <w:pPr>
              <w:jc w:val="both"/>
              <w:rPr>
                <w:sz w:val="16"/>
                <w:szCs w:val="18"/>
              </w:rPr>
            </w:pPr>
          </w:p>
          <w:p w:rsidR="00B376A4" w:rsidRPr="00EF10F1" w:rsidRDefault="00B376A4" w:rsidP="007F6628">
            <w:pPr>
              <w:jc w:val="both"/>
              <w:rPr>
                <w:sz w:val="16"/>
                <w:szCs w:val="18"/>
              </w:rPr>
            </w:pPr>
          </w:p>
          <w:p w:rsidR="00B376A4" w:rsidRPr="00EF10F1" w:rsidRDefault="00B376A4" w:rsidP="007F6628">
            <w:pPr>
              <w:jc w:val="both"/>
              <w:rPr>
                <w:sz w:val="16"/>
                <w:szCs w:val="18"/>
              </w:rPr>
            </w:pPr>
          </w:p>
          <w:p w:rsidR="00B376A4" w:rsidRPr="00EF10F1" w:rsidRDefault="00B376A4" w:rsidP="007F6628">
            <w:pPr>
              <w:jc w:val="both"/>
              <w:rPr>
                <w:sz w:val="16"/>
                <w:szCs w:val="18"/>
              </w:rPr>
            </w:pPr>
          </w:p>
          <w:p w:rsidR="00B376A4" w:rsidRPr="00EF10F1" w:rsidRDefault="00B376A4" w:rsidP="007F6628">
            <w:pPr>
              <w:jc w:val="both"/>
              <w:rPr>
                <w:sz w:val="16"/>
                <w:szCs w:val="18"/>
              </w:rPr>
            </w:pPr>
          </w:p>
          <w:p w:rsidR="00B376A4" w:rsidRPr="00EF10F1" w:rsidRDefault="00B376A4" w:rsidP="007F6628">
            <w:pPr>
              <w:jc w:val="both"/>
              <w:rPr>
                <w:sz w:val="16"/>
                <w:szCs w:val="18"/>
              </w:rPr>
            </w:pPr>
          </w:p>
          <w:p w:rsidR="00B376A4" w:rsidRPr="00EF10F1" w:rsidRDefault="00B376A4" w:rsidP="007F6628">
            <w:pPr>
              <w:jc w:val="both"/>
              <w:rPr>
                <w:sz w:val="16"/>
                <w:szCs w:val="18"/>
              </w:rPr>
            </w:pPr>
          </w:p>
          <w:p w:rsidR="00FB18FA" w:rsidRPr="00EF10F1" w:rsidRDefault="00FB18FA" w:rsidP="007F6628">
            <w:pPr>
              <w:jc w:val="both"/>
              <w:rPr>
                <w:sz w:val="16"/>
                <w:szCs w:val="18"/>
              </w:rPr>
            </w:pPr>
            <w:r w:rsidRPr="00EF10F1">
              <w:rPr>
                <w:sz w:val="16"/>
                <w:szCs w:val="18"/>
              </w:rPr>
              <w:t>- Definir las etapas que contendrá el calendario del PTRNI.</w:t>
            </w:r>
          </w:p>
        </w:tc>
        <w:tc>
          <w:tcPr>
            <w:tcW w:w="4854" w:type="dxa"/>
          </w:tcPr>
          <w:p w:rsidR="00FB18FA" w:rsidRPr="00EF10F1" w:rsidRDefault="000B4106" w:rsidP="00B376A4">
            <w:pPr>
              <w:jc w:val="both"/>
              <w:rPr>
                <w:sz w:val="16"/>
                <w:szCs w:val="18"/>
              </w:rPr>
            </w:pPr>
            <w:r w:rsidRPr="00EF10F1">
              <w:rPr>
                <w:sz w:val="16"/>
                <w:szCs w:val="18"/>
              </w:rPr>
              <w:t xml:space="preserve">- Atendido. </w:t>
            </w:r>
          </w:p>
          <w:p w:rsidR="00B376A4" w:rsidRPr="00EF10F1" w:rsidRDefault="00B376A4" w:rsidP="00B376A4">
            <w:pPr>
              <w:jc w:val="both"/>
              <w:rPr>
                <w:sz w:val="16"/>
                <w:szCs w:val="18"/>
              </w:rPr>
            </w:pPr>
          </w:p>
          <w:p w:rsidR="000B4106" w:rsidRPr="00EF10F1" w:rsidRDefault="000B4106" w:rsidP="00B376A4">
            <w:pPr>
              <w:jc w:val="both"/>
              <w:rPr>
                <w:sz w:val="16"/>
                <w:szCs w:val="18"/>
              </w:rPr>
            </w:pPr>
            <w:r w:rsidRPr="00EF10F1">
              <w:rPr>
                <w:sz w:val="16"/>
                <w:szCs w:val="18"/>
              </w:rPr>
              <w:t xml:space="preserve">- Atendido. </w:t>
            </w:r>
          </w:p>
          <w:p w:rsidR="00B376A4" w:rsidRPr="00EF10F1" w:rsidRDefault="00B376A4" w:rsidP="00B376A4">
            <w:pPr>
              <w:jc w:val="both"/>
              <w:rPr>
                <w:sz w:val="16"/>
                <w:szCs w:val="18"/>
              </w:rPr>
            </w:pPr>
          </w:p>
          <w:p w:rsidR="00B376A4" w:rsidRDefault="00B376A4" w:rsidP="00B376A4">
            <w:pPr>
              <w:jc w:val="both"/>
              <w:rPr>
                <w:sz w:val="16"/>
                <w:szCs w:val="18"/>
              </w:rPr>
            </w:pPr>
          </w:p>
          <w:p w:rsidR="002764E3" w:rsidRPr="00EF10F1" w:rsidRDefault="002764E3" w:rsidP="00B376A4">
            <w:pPr>
              <w:jc w:val="both"/>
              <w:rPr>
                <w:sz w:val="16"/>
                <w:szCs w:val="18"/>
              </w:rPr>
            </w:pPr>
          </w:p>
          <w:p w:rsidR="009D2255" w:rsidRPr="00EF10F1" w:rsidRDefault="000B4106" w:rsidP="00B376A4">
            <w:pPr>
              <w:jc w:val="both"/>
              <w:rPr>
                <w:sz w:val="16"/>
                <w:szCs w:val="18"/>
              </w:rPr>
            </w:pPr>
            <w:r w:rsidRPr="00EF10F1">
              <w:rPr>
                <w:sz w:val="16"/>
                <w:szCs w:val="18"/>
              </w:rPr>
              <w:t>- Las designaciones las realiza el Titular de la Unidad Administrativa, el cual los faculta para realizar los trabajos de simplificación</w:t>
            </w:r>
            <w:r w:rsidR="00B376A4" w:rsidRPr="00EF10F1">
              <w:rPr>
                <w:sz w:val="16"/>
                <w:szCs w:val="18"/>
              </w:rPr>
              <w:t>,</w:t>
            </w:r>
            <w:r w:rsidRPr="00EF10F1">
              <w:rPr>
                <w:sz w:val="16"/>
                <w:szCs w:val="18"/>
              </w:rPr>
              <w:t xml:space="preserve"> </w:t>
            </w:r>
            <w:r w:rsidR="00B376A4" w:rsidRPr="00EF10F1">
              <w:rPr>
                <w:sz w:val="16"/>
                <w:szCs w:val="18"/>
              </w:rPr>
              <w:t>no es necesario limitarlos; asimismo</w:t>
            </w:r>
            <w:r w:rsidRPr="00EF10F1">
              <w:rPr>
                <w:sz w:val="16"/>
                <w:szCs w:val="18"/>
              </w:rPr>
              <w:t xml:space="preserve"> cada Unidad Administrativa es responsable de mantener la consistencia</w:t>
            </w:r>
            <w:r w:rsidR="00B376A4" w:rsidRPr="00EF10F1">
              <w:rPr>
                <w:sz w:val="16"/>
                <w:szCs w:val="18"/>
              </w:rPr>
              <w:t xml:space="preserve"> de la designación de sus enlaces</w:t>
            </w:r>
            <w:r w:rsidRPr="00EF10F1">
              <w:rPr>
                <w:sz w:val="16"/>
                <w:szCs w:val="18"/>
              </w:rPr>
              <w:t xml:space="preserve"> en el SANI</w:t>
            </w:r>
            <w:r w:rsidR="00B376A4" w:rsidRPr="00EF10F1">
              <w:rPr>
                <w:sz w:val="16"/>
                <w:szCs w:val="18"/>
              </w:rPr>
              <w:t>.</w:t>
            </w:r>
          </w:p>
          <w:p w:rsidR="00B376A4" w:rsidRPr="00EF10F1" w:rsidRDefault="00B376A4" w:rsidP="00B376A4">
            <w:pPr>
              <w:jc w:val="both"/>
              <w:rPr>
                <w:sz w:val="16"/>
                <w:szCs w:val="18"/>
              </w:rPr>
            </w:pPr>
          </w:p>
          <w:p w:rsidR="009D2255" w:rsidRPr="00EF10F1" w:rsidRDefault="009D2255" w:rsidP="00B376A4">
            <w:pPr>
              <w:jc w:val="both"/>
              <w:rPr>
                <w:sz w:val="16"/>
                <w:szCs w:val="18"/>
              </w:rPr>
            </w:pPr>
            <w:r w:rsidRPr="00EF10F1">
              <w:rPr>
                <w:sz w:val="16"/>
                <w:szCs w:val="18"/>
              </w:rPr>
              <w:t>- El mecanismo puede variar dependiendo de las solicitudes de revisión, vigencias de los documentos, estructura del documento, entre otros; motivo por el cual no se considera viable especificar un mecanismo, ya que es variable</w:t>
            </w:r>
            <w:r w:rsidR="00B376A4" w:rsidRPr="00EF10F1">
              <w:rPr>
                <w:sz w:val="16"/>
                <w:szCs w:val="18"/>
              </w:rPr>
              <w:t xml:space="preserve">. Por otro lado, </w:t>
            </w:r>
            <w:r w:rsidRPr="00EF10F1">
              <w:rPr>
                <w:sz w:val="16"/>
                <w:szCs w:val="18"/>
              </w:rPr>
              <w:t xml:space="preserve"> se </w:t>
            </w:r>
            <w:r w:rsidR="00B376A4" w:rsidRPr="00EF10F1">
              <w:rPr>
                <w:sz w:val="16"/>
                <w:szCs w:val="18"/>
              </w:rPr>
              <w:t>considera el</w:t>
            </w:r>
            <w:r w:rsidRPr="00EF10F1">
              <w:rPr>
                <w:sz w:val="16"/>
                <w:szCs w:val="18"/>
              </w:rPr>
              <w:t xml:space="preserve"> </w:t>
            </w:r>
            <w:r w:rsidR="00A372EC" w:rsidRPr="00EF10F1">
              <w:rPr>
                <w:sz w:val="16"/>
                <w:szCs w:val="18"/>
              </w:rPr>
              <w:t>pronunciamiento</w:t>
            </w:r>
            <w:r w:rsidRPr="00EF10F1">
              <w:rPr>
                <w:sz w:val="16"/>
                <w:szCs w:val="18"/>
              </w:rPr>
              <w:t xml:space="preserve"> </w:t>
            </w:r>
            <w:r w:rsidR="00B376A4" w:rsidRPr="00EF10F1">
              <w:rPr>
                <w:sz w:val="16"/>
                <w:szCs w:val="18"/>
              </w:rPr>
              <w:t>de</w:t>
            </w:r>
            <w:r w:rsidRPr="00EF10F1">
              <w:rPr>
                <w:sz w:val="16"/>
                <w:szCs w:val="18"/>
              </w:rPr>
              <w:t xml:space="preserve"> las Unidades Administrativas Emisoras y Promoventes al decir que el anteproyecto del PTRNI será enviado al Grupo de Trabajo para q</w:t>
            </w:r>
            <w:r w:rsidR="00A372EC" w:rsidRPr="00EF10F1">
              <w:rPr>
                <w:sz w:val="16"/>
                <w:szCs w:val="18"/>
              </w:rPr>
              <w:t xml:space="preserve">ue de manera conjunta se defina. </w:t>
            </w:r>
          </w:p>
          <w:p w:rsidR="00B376A4" w:rsidRDefault="00B376A4" w:rsidP="00B376A4">
            <w:pPr>
              <w:jc w:val="both"/>
              <w:rPr>
                <w:sz w:val="16"/>
                <w:szCs w:val="18"/>
              </w:rPr>
            </w:pPr>
            <w:r w:rsidRPr="00EF10F1">
              <w:rPr>
                <w:sz w:val="16"/>
                <w:szCs w:val="18"/>
              </w:rPr>
              <w:t>Para el caso de normas de nueva creación o de actualización de normas que no aparecen en el inventario, se específica en el quinto párrafo que la solicitud de revisión puede darse en cualquier momento.</w:t>
            </w:r>
          </w:p>
          <w:p w:rsidR="00EF10F1" w:rsidRPr="00EF10F1" w:rsidRDefault="00EF10F1" w:rsidP="00B376A4">
            <w:pPr>
              <w:jc w:val="both"/>
              <w:rPr>
                <w:sz w:val="16"/>
                <w:szCs w:val="18"/>
              </w:rPr>
            </w:pPr>
          </w:p>
          <w:p w:rsidR="009D2255" w:rsidRDefault="00A658E1" w:rsidP="00B376A4">
            <w:pPr>
              <w:jc w:val="both"/>
              <w:rPr>
                <w:sz w:val="16"/>
                <w:szCs w:val="18"/>
              </w:rPr>
            </w:pPr>
            <w:r w:rsidRPr="00EF10F1">
              <w:rPr>
                <w:sz w:val="16"/>
                <w:szCs w:val="18"/>
              </w:rPr>
              <w:t xml:space="preserve">- El PTRNI se ajustará a las etapas que se establecen en estos lineamientos y el calendario se definirá dentro del mismo PTRNI. </w:t>
            </w:r>
          </w:p>
          <w:p w:rsidR="00FF5EA9" w:rsidRDefault="00FF5EA9" w:rsidP="00B376A4">
            <w:pPr>
              <w:jc w:val="both"/>
              <w:rPr>
                <w:sz w:val="16"/>
                <w:szCs w:val="18"/>
              </w:rPr>
            </w:pPr>
          </w:p>
          <w:p w:rsidR="00FF5EA9" w:rsidRPr="00FF5EA9" w:rsidRDefault="00FF5EA9" w:rsidP="00FF5EA9">
            <w:pPr>
              <w:jc w:val="both"/>
              <w:rPr>
                <w:sz w:val="16"/>
                <w:szCs w:val="18"/>
              </w:rPr>
            </w:pPr>
            <w:r w:rsidRPr="00FF5EA9">
              <w:rPr>
                <w:sz w:val="16"/>
                <w:szCs w:val="18"/>
              </w:rPr>
              <w:t>Adicionalmente, e</w:t>
            </w:r>
            <w:r w:rsidRPr="00FF5EA9">
              <w:rPr>
                <w:sz w:val="16"/>
                <w:szCs w:val="18"/>
              </w:rPr>
              <w:t>n el segundo párrafo al final de la cuarta línea se quitó “de las normas”.</w:t>
            </w:r>
          </w:p>
          <w:p w:rsidR="00FF5EA9" w:rsidRPr="00FF5EA9" w:rsidRDefault="00FF5EA9" w:rsidP="00FF5EA9">
            <w:pPr>
              <w:jc w:val="both"/>
              <w:rPr>
                <w:sz w:val="16"/>
                <w:szCs w:val="18"/>
              </w:rPr>
            </w:pPr>
            <w:r w:rsidRPr="00FF5EA9">
              <w:rPr>
                <w:sz w:val="16"/>
                <w:szCs w:val="18"/>
              </w:rPr>
              <w:t>En el cuarto párrafo se quitó la palabra “de” antes de la palabra regulatoria.</w:t>
            </w:r>
          </w:p>
          <w:p w:rsidR="00FF5EA9" w:rsidRPr="00EF10F1" w:rsidRDefault="00FF5EA9" w:rsidP="00B376A4">
            <w:pPr>
              <w:jc w:val="both"/>
              <w:rPr>
                <w:sz w:val="16"/>
                <w:szCs w:val="18"/>
              </w:rPr>
            </w:pPr>
          </w:p>
        </w:tc>
      </w:tr>
      <w:tr w:rsidR="00FB18FA" w:rsidRPr="00EF10F1" w:rsidTr="002764E3">
        <w:trPr>
          <w:trHeight w:val="2265"/>
        </w:trPr>
        <w:tc>
          <w:tcPr>
            <w:tcW w:w="567" w:type="dxa"/>
            <w:vAlign w:val="center"/>
          </w:tcPr>
          <w:p w:rsidR="00FB18FA" w:rsidRPr="00EF10F1" w:rsidRDefault="00FB18FA" w:rsidP="00B436CA">
            <w:pPr>
              <w:jc w:val="center"/>
              <w:rPr>
                <w:rFonts w:ascii="Arial" w:hAnsi="Arial" w:cs="Arial"/>
                <w:sz w:val="16"/>
                <w:szCs w:val="18"/>
              </w:rPr>
            </w:pPr>
            <w:r w:rsidRPr="00EF10F1">
              <w:rPr>
                <w:rFonts w:ascii="Arial" w:hAnsi="Arial" w:cs="Arial"/>
                <w:sz w:val="16"/>
                <w:szCs w:val="18"/>
              </w:rPr>
              <w:lastRenderedPageBreak/>
              <w:t>7</w:t>
            </w: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5.1. Diagnóstico</w:t>
            </w:r>
          </w:p>
        </w:tc>
        <w:tc>
          <w:tcPr>
            <w:tcW w:w="4898" w:type="dxa"/>
            <w:vAlign w:val="center"/>
          </w:tcPr>
          <w:p w:rsidR="00FB18FA" w:rsidRPr="00EF10F1" w:rsidRDefault="00FB18FA" w:rsidP="00822CD3">
            <w:pPr>
              <w:jc w:val="both"/>
              <w:rPr>
                <w:sz w:val="16"/>
                <w:szCs w:val="18"/>
              </w:rPr>
            </w:pPr>
            <w:r w:rsidRPr="00EF10F1">
              <w:rPr>
                <w:sz w:val="16"/>
                <w:szCs w:val="18"/>
              </w:rPr>
              <w:t>- Señalar que en el envío del Formato LEPAENI-F01 debe incluir el anteproyecto de la norma que será sujeta a revisión. En caso de omisión por parte de las UAE o UAP se dará vista al OIC para que por su conducto se remita la información.</w:t>
            </w:r>
          </w:p>
          <w:p w:rsidR="00FB18FA" w:rsidRPr="00EF10F1" w:rsidRDefault="00FB18FA" w:rsidP="00822CD3">
            <w:pPr>
              <w:jc w:val="both"/>
              <w:rPr>
                <w:sz w:val="16"/>
                <w:szCs w:val="18"/>
              </w:rPr>
            </w:pPr>
            <w:r w:rsidRPr="00EF10F1">
              <w:rPr>
                <w:sz w:val="16"/>
                <w:szCs w:val="18"/>
              </w:rPr>
              <w:t>- La autorización de la prórroga no debe ser unilateral, se sugiere que la totalidad de las Unidades Administrativas de Apoyo intervengan en su aprobación. Asimismo, en caso de aprobarse, el PTRNI sería sujeto a una modificación conforme a los nuevos plazos, por tal motivo debe incluirse en el documento un apartado por modificación del PTRNI.</w:t>
            </w:r>
          </w:p>
          <w:p w:rsidR="00FB18FA" w:rsidRDefault="00FB18FA" w:rsidP="00BB10D6">
            <w:pPr>
              <w:jc w:val="both"/>
              <w:rPr>
                <w:sz w:val="16"/>
                <w:szCs w:val="18"/>
              </w:rPr>
            </w:pPr>
            <w:r w:rsidRPr="00EF10F1">
              <w:rPr>
                <w:sz w:val="16"/>
                <w:szCs w:val="18"/>
              </w:rPr>
              <w:t xml:space="preserve">- Considerar la factibilidad de incorporar al documento los Apéndices de la Guía para la Emisión de Documentos Normativos Internos, para la emisión de las normas internas. </w:t>
            </w:r>
          </w:p>
          <w:p w:rsidR="00FF5EA9" w:rsidRDefault="00FF5EA9" w:rsidP="00BB10D6">
            <w:pPr>
              <w:jc w:val="both"/>
              <w:rPr>
                <w:sz w:val="16"/>
                <w:szCs w:val="18"/>
              </w:rPr>
            </w:pPr>
          </w:p>
          <w:p w:rsidR="00FF5EA9" w:rsidRDefault="00FF5EA9" w:rsidP="00BB10D6">
            <w:pPr>
              <w:jc w:val="both"/>
              <w:rPr>
                <w:sz w:val="16"/>
                <w:szCs w:val="18"/>
              </w:rPr>
            </w:pPr>
          </w:p>
          <w:p w:rsidR="00FF5EA9" w:rsidRDefault="00FF5EA9" w:rsidP="00BB10D6">
            <w:pPr>
              <w:jc w:val="both"/>
              <w:rPr>
                <w:sz w:val="16"/>
                <w:szCs w:val="18"/>
              </w:rPr>
            </w:pPr>
          </w:p>
          <w:p w:rsidR="00FF5EA9" w:rsidRDefault="00FF5EA9" w:rsidP="00BB10D6">
            <w:pPr>
              <w:jc w:val="both"/>
              <w:rPr>
                <w:sz w:val="16"/>
                <w:szCs w:val="18"/>
              </w:rPr>
            </w:pPr>
          </w:p>
          <w:p w:rsidR="00FF5EA9" w:rsidRPr="00EF10F1" w:rsidRDefault="00FF5EA9" w:rsidP="00BB10D6">
            <w:pPr>
              <w:jc w:val="both"/>
              <w:rPr>
                <w:sz w:val="16"/>
                <w:szCs w:val="18"/>
              </w:rPr>
            </w:pPr>
          </w:p>
        </w:tc>
        <w:tc>
          <w:tcPr>
            <w:tcW w:w="4854" w:type="dxa"/>
          </w:tcPr>
          <w:p w:rsidR="00FB18FA" w:rsidRPr="00EF10F1" w:rsidRDefault="00BF6D31" w:rsidP="00B376A4">
            <w:pPr>
              <w:jc w:val="both"/>
              <w:rPr>
                <w:sz w:val="16"/>
                <w:szCs w:val="18"/>
              </w:rPr>
            </w:pPr>
            <w:r w:rsidRPr="00EF10F1">
              <w:rPr>
                <w:sz w:val="16"/>
                <w:szCs w:val="18"/>
              </w:rPr>
              <w:t xml:space="preserve">- Atendido. </w:t>
            </w:r>
          </w:p>
          <w:p w:rsidR="00BF6D31" w:rsidRPr="00EF10F1" w:rsidRDefault="00BF6D31" w:rsidP="00B376A4">
            <w:pPr>
              <w:jc w:val="both"/>
              <w:rPr>
                <w:sz w:val="16"/>
                <w:szCs w:val="18"/>
              </w:rPr>
            </w:pPr>
            <w:r w:rsidRPr="00EF10F1">
              <w:rPr>
                <w:sz w:val="16"/>
                <w:szCs w:val="18"/>
              </w:rPr>
              <w:t xml:space="preserve">- Se atendió que en la prórroga para su aprobación  participen todas las Unidades Administrativas de Apoyo; sin embargo lo referente a la modificación en el PTRNI; no se considera viable, ya que implica la aprobación de todas las Unidades Administrativas Participantes </w:t>
            </w:r>
            <w:r w:rsidR="00B376A4" w:rsidRPr="00EF10F1">
              <w:rPr>
                <w:sz w:val="16"/>
                <w:szCs w:val="18"/>
              </w:rPr>
              <w:t xml:space="preserve"> y suscribir nuevamente el documento.</w:t>
            </w:r>
          </w:p>
          <w:p w:rsidR="00E830EE" w:rsidRDefault="00F24EB2" w:rsidP="003907A4">
            <w:pPr>
              <w:jc w:val="both"/>
              <w:rPr>
                <w:sz w:val="16"/>
                <w:szCs w:val="18"/>
              </w:rPr>
            </w:pPr>
            <w:r w:rsidRPr="00EF10F1">
              <w:rPr>
                <w:sz w:val="16"/>
                <w:szCs w:val="18"/>
              </w:rPr>
              <w:t xml:space="preserve">- </w:t>
            </w:r>
            <w:r w:rsidR="00E830EE" w:rsidRPr="00EF10F1">
              <w:rPr>
                <w:sz w:val="16"/>
                <w:szCs w:val="18"/>
              </w:rPr>
              <w:t>Se incorporó en el “Diagnóstico para la emisión de una nueva norma interna” LEPAENI-F03</w:t>
            </w:r>
            <w:r w:rsidR="003242D5" w:rsidRPr="00EF10F1">
              <w:rPr>
                <w:sz w:val="16"/>
                <w:szCs w:val="18"/>
              </w:rPr>
              <w:t xml:space="preserve">, un texto con la liga de la Guía para </w:t>
            </w:r>
            <w:r w:rsidR="003907A4">
              <w:rPr>
                <w:sz w:val="16"/>
                <w:szCs w:val="18"/>
              </w:rPr>
              <w:t>Emitir</w:t>
            </w:r>
            <w:r w:rsidR="003242D5" w:rsidRPr="00EF10F1">
              <w:rPr>
                <w:sz w:val="16"/>
                <w:szCs w:val="18"/>
              </w:rPr>
              <w:t xml:space="preserve"> Documentos Normativos</w:t>
            </w:r>
            <w:r w:rsidR="003907A4">
              <w:rPr>
                <w:sz w:val="16"/>
                <w:szCs w:val="18"/>
              </w:rPr>
              <w:t xml:space="preserve"> de la Secretaría de la Función Pública</w:t>
            </w:r>
            <w:r w:rsidR="003242D5" w:rsidRPr="00EF10F1">
              <w:rPr>
                <w:sz w:val="16"/>
                <w:szCs w:val="18"/>
              </w:rPr>
              <w:t xml:space="preserve">; </w:t>
            </w:r>
            <w:r w:rsidR="003907A4">
              <w:rPr>
                <w:sz w:val="16"/>
                <w:szCs w:val="18"/>
              </w:rPr>
              <w:t xml:space="preserve">que contiene los apéndices de la </w:t>
            </w:r>
            <w:r w:rsidR="003907A4" w:rsidRPr="00EF10F1">
              <w:rPr>
                <w:sz w:val="16"/>
                <w:szCs w:val="18"/>
              </w:rPr>
              <w:t>Guía para la Emisión de Documentos Normativos Internos</w:t>
            </w:r>
            <w:r w:rsidR="003907A4">
              <w:rPr>
                <w:sz w:val="16"/>
                <w:szCs w:val="18"/>
              </w:rPr>
              <w:t xml:space="preserve"> de la SCT, a fin de que </w:t>
            </w:r>
            <w:r w:rsidR="003242D5" w:rsidRPr="00EF10F1">
              <w:rPr>
                <w:sz w:val="16"/>
                <w:szCs w:val="18"/>
              </w:rPr>
              <w:t xml:space="preserve">la consulten. </w:t>
            </w:r>
          </w:p>
          <w:p w:rsidR="00FF5EA9" w:rsidRDefault="00FF5EA9" w:rsidP="003907A4">
            <w:pPr>
              <w:jc w:val="both"/>
              <w:rPr>
                <w:sz w:val="16"/>
                <w:szCs w:val="18"/>
              </w:rPr>
            </w:pPr>
          </w:p>
          <w:p w:rsidR="00FF5EA9" w:rsidRDefault="00FF5EA9" w:rsidP="003907A4">
            <w:pPr>
              <w:jc w:val="both"/>
              <w:rPr>
                <w:sz w:val="16"/>
                <w:szCs w:val="18"/>
              </w:rPr>
            </w:pPr>
          </w:p>
          <w:p w:rsidR="00FF5EA9" w:rsidRPr="00EF10F1" w:rsidRDefault="00FF5EA9" w:rsidP="002764E3">
            <w:pPr>
              <w:rPr>
                <w:sz w:val="16"/>
                <w:szCs w:val="18"/>
              </w:rPr>
            </w:pPr>
            <w:r>
              <w:rPr>
                <w:sz w:val="16"/>
                <w:szCs w:val="18"/>
              </w:rPr>
              <w:t>Adicionalmente, e</w:t>
            </w:r>
            <w:r w:rsidRPr="00FF5EA9">
              <w:rPr>
                <w:sz w:val="16"/>
                <w:szCs w:val="18"/>
              </w:rPr>
              <w:t>n el primer párrafo tercera línea se cambió “al” por “de”.</w:t>
            </w:r>
            <w:r w:rsidR="002764E3">
              <w:rPr>
                <w:sz w:val="16"/>
                <w:szCs w:val="18"/>
              </w:rPr>
              <w:t xml:space="preserve"> </w:t>
            </w:r>
            <w:r w:rsidRPr="00FF5EA9">
              <w:rPr>
                <w:sz w:val="16"/>
                <w:szCs w:val="18"/>
              </w:rPr>
              <w:t>En el tercer párrafo tercera línea se agregó “más adelante</w:t>
            </w:r>
            <w:r w:rsidR="005037FB">
              <w:rPr>
                <w:sz w:val="16"/>
                <w:szCs w:val="18"/>
              </w:rPr>
              <w:t>”.</w:t>
            </w:r>
          </w:p>
        </w:tc>
      </w:tr>
      <w:tr w:rsidR="00FB18FA" w:rsidRPr="00EF10F1" w:rsidTr="002764E3">
        <w:trPr>
          <w:trHeight w:val="706"/>
        </w:trPr>
        <w:tc>
          <w:tcPr>
            <w:tcW w:w="567" w:type="dxa"/>
            <w:vAlign w:val="center"/>
          </w:tcPr>
          <w:p w:rsidR="00FB18FA" w:rsidRPr="00EF10F1" w:rsidRDefault="00FB18FA" w:rsidP="00B436CA">
            <w:pPr>
              <w:jc w:val="center"/>
              <w:rPr>
                <w:rFonts w:ascii="Arial" w:hAnsi="Arial" w:cs="Arial"/>
                <w:sz w:val="16"/>
                <w:szCs w:val="18"/>
              </w:rPr>
            </w:pPr>
            <w:r w:rsidRPr="00EF10F1">
              <w:rPr>
                <w:rFonts w:ascii="Arial" w:hAnsi="Arial" w:cs="Arial"/>
                <w:sz w:val="16"/>
                <w:szCs w:val="18"/>
              </w:rPr>
              <w:t>8</w:t>
            </w: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5.2. Revisión</w:t>
            </w:r>
            <w:r w:rsidRPr="00EF10F1">
              <w:rPr>
                <w:rFonts w:ascii="Soberana Sans" w:hAnsi="Soberana Sans" w:cs="Times New Roman"/>
                <w:sz w:val="16"/>
                <w:szCs w:val="18"/>
              </w:rPr>
              <w:t xml:space="preserve"> </w:t>
            </w:r>
          </w:p>
        </w:tc>
        <w:tc>
          <w:tcPr>
            <w:tcW w:w="4898" w:type="dxa"/>
            <w:vAlign w:val="center"/>
          </w:tcPr>
          <w:p w:rsidR="00A24D5F" w:rsidRPr="00EF10F1" w:rsidRDefault="00FB18FA" w:rsidP="00B436CA">
            <w:pPr>
              <w:jc w:val="both"/>
              <w:rPr>
                <w:sz w:val="16"/>
                <w:szCs w:val="18"/>
              </w:rPr>
            </w:pPr>
            <w:r w:rsidRPr="00EF10F1">
              <w:rPr>
                <w:sz w:val="16"/>
                <w:szCs w:val="18"/>
              </w:rPr>
              <w:t>-Clarificar que las opiniones o comentarios de las UAA derivadas de la revisión a los anteproyectos, se incorporaran en la Normateca Interna.</w:t>
            </w:r>
          </w:p>
          <w:p w:rsidR="00FB18FA" w:rsidRPr="00EF10F1" w:rsidRDefault="00FB18FA" w:rsidP="00062631">
            <w:pPr>
              <w:jc w:val="both"/>
              <w:rPr>
                <w:sz w:val="16"/>
                <w:szCs w:val="18"/>
              </w:rPr>
            </w:pPr>
            <w:r w:rsidRPr="00EF10F1">
              <w:rPr>
                <w:sz w:val="16"/>
                <w:szCs w:val="18"/>
              </w:rPr>
              <w:t xml:space="preserve">- Modificar la fecha para realizar la revisión de la norma a 10 días hábiles, </w:t>
            </w:r>
          </w:p>
          <w:p w:rsidR="00A24D5F" w:rsidRPr="00EF10F1" w:rsidRDefault="00A24D5F" w:rsidP="00062631">
            <w:pPr>
              <w:jc w:val="both"/>
              <w:rPr>
                <w:sz w:val="16"/>
                <w:szCs w:val="18"/>
              </w:rPr>
            </w:pPr>
          </w:p>
          <w:p w:rsidR="00A24D5F" w:rsidRPr="00EF10F1" w:rsidRDefault="00A24D5F" w:rsidP="00062631">
            <w:pPr>
              <w:jc w:val="both"/>
              <w:rPr>
                <w:sz w:val="16"/>
                <w:szCs w:val="18"/>
              </w:rPr>
            </w:pPr>
          </w:p>
          <w:p w:rsidR="00A24D5F" w:rsidRPr="00EF10F1" w:rsidRDefault="00A24D5F" w:rsidP="00062631">
            <w:pPr>
              <w:jc w:val="both"/>
              <w:rPr>
                <w:sz w:val="16"/>
                <w:szCs w:val="18"/>
              </w:rPr>
            </w:pPr>
          </w:p>
          <w:p w:rsidR="00FB18FA" w:rsidRPr="00EF10F1" w:rsidRDefault="00FB18FA" w:rsidP="00062631">
            <w:pPr>
              <w:jc w:val="both"/>
              <w:rPr>
                <w:sz w:val="16"/>
                <w:szCs w:val="18"/>
              </w:rPr>
            </w:pPr>
            <w:r w:rsidRPr="00EF10F1">
              <w:rPr>
                <w:sz w:val="16"/>
                <w:szCs w:val="18"/>
              </w:rPr>
              <w:t>- En el punto a) se sugiere eliminar lo relativo a la intervención del OIC, toda vez que estará inmerso en el apartado de diagnóstico.</w:t>
            </w:r>
          </w:p>
          <w:p w:rsidR="00FB18FA" w:rsidRPr="00EF10F1" w:rsidRDefault="00FB18FA" w:rsidP="00062631">
            <w:pPr>
              <w:jc w:val="both"/>
              <w:rPr>
                <w:sz w:val="16"/>
                <w:szCs w:val="18"/>
              </w:rPr>
            </w:pPr>
            <w:r w:rsidRPr="00EF10F1">
              <w:rPr>
                <w:sz w:val="16"/>
                <w:szCs w:val="18"/>
              </w:rPr>
              <w:t>- El punto b) se sugiere considerar que podrá ampliarse el plazo de la revisión por 5 días adicionales salvo previa justificación.</w:t>
            </w:r>
          </w:p>
          <w:p w:rsidR="00FB18FA" w:rsidRPr="00EF10F1" w:rsidRDefault="00FB18FA" w:rsidP="00062631">
            <w:pPr>
              <w:jc w:val="both"/>
              <w:rPr>
                <w:sz w:val="16"/>
                <w:szCs w:val="18"/>
              </w:rPr>
            </w:pPr>
          </w:p>
          <w:p w:rsidR="00FB18FA" w:rsidRPr="00EF10F1" w:rsidRDefault="00FB18FA" w:rsidP="00062631">
            <w:pPr>
              <w:jc w:val="both"/>
              <w:rPr>
                <w:sz w:val="16"/>
                <w:szCs w:val="18"/>
              </w:rPr>
            </w:pPr>
            <w:r w:rsidRPr="00EF10F1">
              <w:rPr>
                <w:sz w:val="16"/>
                <w:szCs w:val="18"/>
              </w:rPr>
              <w:t>Actividades de las UA´s:</w:t>
            </w:r>
          </w:p>
          <w:p w:rsidR="00FB18FA" w:rsidRPr="00EF10F1" w:rsidRDefault="00FB18FA" w:rsidP="00EE496C">
            <w:pPr>
              <w:jc w:val="both"/>
              <w:rPr>
                <w:sz w:val="16"/>
                <w:szCs w:val="18"/>
              </w:rPr>
            </w:pPr>
            <w:r w:rsidRPr="00EF10F1">
              <w:rPr>
                <w:sz w:val="16"/>
                <w:szCs w:val="18"/>
              </w:rPr>
              <w:t>- Otras responsabilidades de la UAC:</w:t>
            </w:r>
          </w:p>
          <w:p w:rsidR="005251C3" w:rsidRPr="00EF10F1" w:rsidRDefault="005251C3" w:rsidP="00EE496C">
            <w:pPr>
              <w:jc w:val="both"/>
              <w:rPr>
                <w:sz w:val="16"/>
                <w:szCs w:val="18"/>
              </w:rPr>
            </w:pPr>
          </w:p>
          <w:p w:rsidR="00FB18FA" w:rsidRPr="00EF10F1" w:rsidRDefault="00FB18FA" w:rsidP="00EE496C">
            <w:pPr>
              <w:jc w:val="both"/>
              <w:rPr>
                <w:sz w:val="16"/>
                <w:szCs w:val="18"/>
              </w:rPr>
            </w:pPr>
            <w:r w:rsidRPr="00EF10F1">
              <w:rPr>
                <w:sz w:val="16"/>
                <w:szCs w:val="18"/>
              </w:rPr>
              <w:t>Vigilar el envío de los anexos señalados en el presente anteproyecto por parte de las UAE o UAP.</w:t>
            </w:r>
          </w:p>
          <w:p w:rsidR="00FB18FA" w:rsidRPr="00EF10F1" w:rsidRDefault="00FB18FA" w:rsidP="00EE496C">
            <w:pPr>
              <w:jc w:val="both"/>
              <w:rPr>
                <w:sz w:val="16"/>
                <w:szCs w:val="18"/>
              </w:rPr>
            </w:pPr>
            <w:r w:rsidRPr="00EF10F1">
              <w:rPr>
                <w:sz w:val="16"/>
                <w:szCs w:val="18"/>
              </w:rPr>
              <w:t>Vigilar el cumplimiento en tiempo y forma del PTRNI.</w:t>
            </w:r>
          </w:p>
          <w:p w:rsidR="005251C3" w:rsidRPr="00EF10F1" w:rsidRDefault="005251C3" w:rsidP="00EE496C">
            <w:pPr>
              <w:jc w:val="both"/>
              <w:rPr>
                <w:sz w:val="16"/>
                <w:szCs w:val="18"/>
              </w:rPr>
            </w:pPr>
          </w:p>
          <w:p w:rsidR="00FB18FA" w:rsidRPr="00EF10F1" w:rsidRDefault="00FB18FA" w:rsidP="00EE496C">
            <w:pPr>
              <w:jc w:val="both"/>
              <w:rPr>
                <w:sz w:val="16"/>
                <w:szCs w:val="18"/>
              </w:rPr>
            </w:pPr>
            <w:r w:rsidRPr="00EF10F1">
              <w:rPr>
                <w:sz w:val="16"/>
                <w:szCs w:val="18"/>
              </w:rPr>
              <w:t>Notificar al OIC en caso de incumplimiento de las UAE o UAP.</w:t>
            </w:r>
          </w:p>
          <w:p w:rsidR="005251C3" w:rsidRPr="00EF10F1" w:rsidRDefault="005251C3" w:rsidP="00EE496C">
            <w:pPr>
              <w:jc w:val="both"/>
              <w:rPr>
                <w:sz w:val="16"/>
                <w:szCs w:val="18"/>
              </w:rPr>
            </w:pPr>
          </w:p>
          <w:p w:rsidR="005251C3" w:rsidRPr="00EF10F1" w:rsidRDefault="005251C3" w:rsidP="00EE496C">
            <w:pPr>
              <w:jc w:val="both"/>
              <w:rPr>
                <w:sz w:val="16"/>
                <w:szCs w:val="18"/>
              </w:rPr>
            </w:pPr>
          </w:p>
          <w:p w:rsidR="00FB18FA" w:rsidRPr="00EF10F1" w:rsidRDefault="00FB18FA" w:rsidP="00EE496C">
            <w:pPr>
              <w:jc w:val="both"/>
              <w:rPr>
                <w:sz w:val="16"/>
                <w:szCs w:val="18"/>
              </w:rPr>
            </w:pPr>
            <w:r w:rsidRPr="00EF10F1">
              <w:rPr>
                <w:sz w:val="16"/>
                <w:szCs w:val="18"/>
              </w:rPr>
              <w:t>Integrar y mantener actualizado el inventario de normas internas sustantivas y administrativas en la normateca interna de la SCT.</w:t>
            </w:r>
          </w:p>
          <w:p w:rsidR="00FB18FA" w:rsidRPr="00EF10F1" w:rsidRDefault="00FB18FA" w:rsidP="00EE496C">
            <w:pPr>
              <w:jc w:val="both"/>
              <w:rPr>
                <w:sz w:val="16"/>
                <w:szCs w:val="18"/>
              </w:rPr>
            </w:pPr>
          </w:p>
          <w:p w:rsidR="00FB18FA" w:rsidRPr="00EF10F1" w:rsidRDefault="00FB18FA" w:rsidP="00E64616">
            <w:pPr>
              <w:jc w:val="both"/>
              <w:rPr>
                <w:sz w:val="16"/>
                <w:szCs w:val="18"/>
              </w:rPr>
            </w:pPr>
            <w:r w:rsidRPr="00EF10F1">
              <w:rPr>
                <w:sz w:val="16"/>
                <w:szCs w:val="18"/>
              </w:rPr>
              <w:t>- Otras responsabilidades de la UAJ:</w:t>
            </w:r>
          </w:p>
          <w:p w:rsidR="00FB18FA" w:rsidRPr="00EF10F1" w:rsidRDefault="00FB18FA" w:rsidP="00EE496C">
            <w:pPr>
              <w:jc w:val="both"/>
              <w:rPr>
                <w:sz w:val="16"/>
                <w:szCs w:val="18"/>
              </w:rPr>
            </w:pPr>
            <w:r w:rsidRPr="00EF10F1">
              <w:rPr>
                <w:sz w:val="16"/>
                <w:szCs w:val="18"/>
              </w:rPr>
              <w:t>Opinar sobre el contenido del anteproyecto.</w:t>
            </w:r>
          </w:p>
          <w:p w:rsidR="00FB18FA" w:rsidRPr="00EF10F1" w:rsidRDefault="00FB18FA" w:rsidP="00EE496C">
            <w:pPr>
              <w:jc w:val="both"/>
              <w:rPr>
                <w:sz w:val="16"/>
                <w:szCs w:val="18"/>
              </w:rPr>
            </w:pPr>
          </w:p>
          <w:p w:rsidR="00FB18FA" w:rsidRPr="00EF10F1" w:rsidRDefault="00FB18FA" w:rsidP="006C5847">
            <w:pPr>
              <w:jc w:val="both"/>
              <w:rPr>
                <w:sz w:val="16"/>
                <w:szCs w:val="18"/>
              </w:rPr>
            </w:pPr>
            <w:r w:rsidRPr="00EF10F1">
              <w:rPr>
                <w:sz w:val="16"/>
                <w:szCs w:val="18"/>
              </w:rPr>
              <w:t>Toda vez que la disposición estará visible al público en general, se sugiere implementar la apertura de la sección comentarios de la Normateca Interna, para que estos deban ser considerados para su atención por las UAA.</w:t>
            </w:r>
          </w:p>
          <w:p w:rsidR="00FB18FA" w:rsidRPr="00EF10F1" w:rsidRDefault="00FB18FA" w:rsidP="006C5847">
            <w:pPr>
              <w:jc w:val="both"/>
              <w:rPr>
                <w:sz w:val="16"/>
                <w:szCs w:val="18"/>
              </w:rPr>
            </w:pPr>
          </w:p>
          <w:p w:rsidR="00FB18FA" w:rsidRPr="00EF10F1" w:rsidRDefault="00FB18FA" w:rsidP="006C5847">
            <w:pPr>
              <w:jc w:val="both"/>
              <w:rPr>
                <w:sz w:val="16"/>
                <w:szCs w:val="18"/>
              </w:rPr>
            </w:pPr>
            <w:r w:rsidRPr="00EF10F1">
              <w:rPr>
                <w:sz w:val="16"/>
                <w:szCs w:val="18"/>
              </w:rPr>
              <w:t>Por otra parte, se sugiere indicar que previa convocatoria, el Grupo de Trabajo podrá solicitar reuniones de trabajo con las UAE o UAP, a fin de exponer sus observaciones y/o comentarios para fortalecer el documento.</w:t>
            </w:r>
          </w:p>
        </w:tc>
        <w:tc>
          <w:tcPr>
            <w:tcW w:w="4854" w:type="dxa"/>
          </w:tcPr>
          <w:p w:rsidR="00DC5709" w:rsidRPr="00EF10F1" w:rsidRDefault="00DC5709" w:rsidP="00B376A4">
            <w:pPr>
              <w:jc w:val="both"/>
              <w:rPr>
                <w:sz w:val="16"/>
                <w:szCs w:val="18"/>
              </w:rPr>
            </w:pPr>
            <w:r w:rsidRPr="00EF10F1">
              <w:rPr>
                <w:sz w:val="16"/>
                <w:szCs w:val="18"/>
              </w:rPr>
              <w:t>- Atendido.</w:t>
            </w:r>
          </w:p>
          <w:p w:rsidR="00DC5709" w:rsidRPr="00EF10F1" w:rsidRDefault="00DC5709" w:rsidP="00B376A4">
            <w:pPr>
              <w:jc w:val="both"/>
              <w:rPr>
                <w:sz w:val="16"/>
                <w:szCs w:val="18"/>
              </w:rPr>
            </w:pPr>
          </w:p>
          <w:p w:rsidR="00B376A4" w:rsidRPr="00EF10F1" w:rsidRDefault="00B376A4" w:rsidP="00B376A4">
            <w:pPr>
              <w:jc w:val="both"/>
              <w:rPr>
                <w:sz w:val="16"/>
                <w:szCs w:val="18"/>
              </w:rPr>
            </w:pPr>
          </w:p>
          <w:p w:rsidR="00DC5709" w:rsidRPr="00EF10F1" w:rsidRDefault="00B07028" w:rsidP="00B376A4">
            <w:pPr>
              <w:jc w:val="both"/>
              <w:rPr>
                <w:sz w:val="16"/>
                <w:szCs w:val="18"/>
              </w:rPr>
            </w:pPr>
            <w:r w:rsidRPr="00EF10F1">
              <w:rPr>
                <w:sz w:val="16"/>
                <w:szCs w:val="18"/>
              </w:rPr>
              <w:t xml:space="preserve">- Los 15 días hábiles fueron definidos por las Unidades Administrativas de Apoyo en la reunión de trabajo para la revisión preliminar de la “Guía para la Emisión de Documentos Normativos Internos”; en donde se determinó convertir el citado documento a Lineamientos. </w:t>
            </w:r>
          </w:p>
          <w:p w:rsidR="00DC5709" w:rsidRPr="00EF10F1" w:rsidRDefault="00DC5709" w:rsidP="00B376A4">
            <w:pPr>
              <w:jc w:val="both"/>
              <w:rPr>
                <w:sz w:val="16"/>
                <w:szCs w:val="18"/>
              </w:rPr>
            </w:pPr>
            <w:r w:rsidRPr="00EF10F1">
              <w:rPr>
                <w:sz w:val="16"/>
                <w:szCs w:val="18"/>
              </w:rPr>
              <w:t xml:space="preserve">- Se eliminó el inciso a). </w:t>
            </w:r>
          </w:p>
          <w:p w:rsidR="00DC5709" w:rsidRPr="00EF10F1" w:rsidRDefault="00DC5709" w:rsidP="00B376A4">
            <w:pPr>
              <w:jc w:val="both"/>
              <w:rPr>
                <w:sz w:val="16"/>
                <w:szCs w:val="18"/>
              </w:rPr>
            </w:pPr>
          </w:p>
          <w:p w:rsidR="00DC5709" w:rsidRPr="00EF10F1" w:rsidRDefault="00DC5709" w:rsidP="00B376A4">
            <w:pPr>
              <w:jc w:val="both"/>
              <w:rPr>
                <w:sz w:val="16"/>
                <w:szCs w:val="18"/>
              </w:rPr>
            </w:pPr>
          </w:p>
          <w:p w:rsidR="00A24D5F" w:rsidRPr="00EF10F1" w:rsidRDefault="00B376A4" w:rsidP="00B376A4">
            <w:pPr>
              <w:jc w:val="both"/>
              <w:rPr>
                <w:sz w:val="16"/>
                <w:szCs w:val="18"/>
              </w:rPr>
            </w:pPr>
            <w:r w:rsidRPr="00EF10F1">
              <w:rPr>
                <w:sz w:val="16"/>
                <w:szCs w:val="18"/>
              </w:rPr>
              <w:t>- Se eliminó inciso b), toda vez que la prorroga quedará sujeta a la aprobación de las UAA.</w:t>
            </w:r>
          </w:p>
          <w:p w:rsidR="00A24D5F" w:rsidRPr="00EF10F1" w:rsidRDefault="00A24D5F" w:rsidP="00B376A4">
            <w:pPr>
              <w:jc w:val="both"/>
              <w:rPr>
                <w:sz w:val="16"/>
                <w:szCs w:val="18"/>
              </w:rPr>
            </w:pPr>
          </w:p>
          <w:p w:rsidR="00A24D5F" w:rsidRPr="00EF10F1" w:rsidRDefault="00A24D5F" w:rsidP="00B376A4">
            <w:pPr>
              <w:jc w:val="both"/>
              <w:rPr>
                <w:sz w:val="16"/>
                <w:szCs w:val="18"/>
              </w:rPr>
            </w:pPr>
          </w:p>
          <w:p w:rsidR="00497D69" w:rsidRPr="00EF10F1" w:rsidRDefault="00497D69" w:rsidP="00B376A4">
            <w:pPr>
              <w:jc w:val="both"/>
              <w:rPr>
                <w:sz w:val="16"/>
                <w:szCs w:val="18"/>
              </w:rPr>
            </w:pPr>
          </w:p>
          <w:p w:rsidR="00A24D5F" w:rsidRPr="00EF10F1" w:rsidRDefault="00A24D5F" w:rsidP="00B376A4">
            <w:pPr>
              <w:jc w:val="both"/>
              <w:rPr>
                <w:sz w:val="16"/>
                <w:szCs w:val="18"/>
              </w:rPr>
            </w:pPr>
          </w:p>
          <w:p w:rsidR="00497D69" w:rsidRPr="00EF10F1" w:rsidRDefault="00497D69" w:rsidP="00B376A4">
            <w:pPr>
              <w:jc w:val="both"/>
              <w:rPr>
                <w:sz w:val="16"/>
                <w:szCs w:val="18"/>
              </w:rPr>
            </w:pPr>
          </w:p>
          <w:p w:rsidR="00497D69" w:rsidRPr="00EF10F1" w:rsidRDefault="00A24D5F" w:rsidP="00B376A4">
            <w:pPr>
              <w:jc w:val="both"/>
              <w:rPr>
                <w:sz w:val="16"/>
                <w:szCs w:val="18"/>
              </w:rPr>
            </w:pPr>
            <w:r w:rsidRPr="00EF10F1">
              <w:rPr>
                <w:sz w:val="16"/>
                <w:szCs w:val="18"/>
              </w:rPr>
              <w:t xml:space="preserve">- </w:t>
            </w:r>
            <w:r w:rsidR="00497D69" w:rsidRPr="00EF10F1">
              <w:rPr>
                <w:sz w:val="16"/>
                <w:szCs w:val="18"/>
              </w:rPr>
              <w:t xml:space="preserve">No son actividades </w:t>
            </w:r>
            <w:r w:rsidR="00B376A4" w:rsidRPr="00EF10F1">
              <w:rPr>
                <w:sz w:val="16"/>
                <w:szCs w:val="18"/>
              </w:rPr>
              <w:t>que la UAC realiza en la etapa de revisión.</w:t>
            </w:r>
          </w:p>
          <w:p w:rsidR="000F20E2" w:rsidRDefault="000F20E2" w:rsidP="00B376A4">
            <w:pPr>
              <w:jc w:val="both"/>
              <w:rPr>
                <w:sz w:val="16"/>
                <w:szCs w:val="18"/>
              </w:rPr>
            </w:pPr>
          </w:p>
          <w:p w:rsidR="00EF10F1" w:rsidRPr="00EF10F1" w:rsidRDefault="00EF10F1" w:rsidP="00B376A4">
            <w:pPr>
              <w:jc w:val="both"/>
              <w:rPr>
                <w:sz w:val="16"/>
                <w:szCs w:val="18"/>
              </w:rPr>
            </w:pPr>
          </w:p>
          <w:p w:rsidR="00497D69" w:rsidRPr="00EF10F1" w:rsidRDefault="00497D69" w:rsidP="00B376A4">
            <w:pPr>
              <w:jc w:val="both"/>
              <w:rPr>
                <w:sz w:val="16"/>
                <w:szCs w:val="18"/>
              </w:rPr>
            </w:pPr>
            <w:r w:rsidRPr="00EF10F1">
              <w:rPr>
                <w:sz w:val="16"/>
                <w:szCs w:val="18"/>
              </w:rPr>
              <w:t xml:space="preserve">- Ya </w:t>
            </w:r>
            <w:r w:rsidR="00501842" w:rsidRPr="00EF10F1">
              <w:rPr>
                <w:sz w:val="16"/>
                <w:szCs w:val="18"/>
              </w:rPr>
              <w:t xml:space="preserve">se </w:t>
            </w:r>
            <w:r w:rsidRPr="00EF10F1">
              <w:rPr>
                <w:sz w:val="16"/>
                <w:szCs w:val="18"/>
              </w:rPr>
              <w:t>establece</w:t>
            </w:r>
            <w:r w:rsidR="00501842" w:rsidRPr="00EF10F1">
              <w:rPr>
                <w:sz w:val="16"/>
                <w:szCs w:val="18"/>
              </w:rPr>
              <w:t xml:space="preserve"> en</w:t>
            </w:r>
            <w:r w:rsidRPr="00EF10F1">
              <w:rPr>
                <w:sz w:val="16"/>
                <w:szCs w:val="18"/>
              </w:rPr>
              <w:t xml:space="preserve"> las disposiciones generales. </w:t>
            </w:r>
          </w:p>
          <w:p w:rsidR="00497D69" w:rsidRPr="00EF10F1" w:rsidRDefault="00497D69" w:rsidP="00B376A4">
            <w:pPr>
              <w:jc w:val="both"/>
              <w:rPr>
                <w:sz w:val="16"/>
                <w:szCs w:val="18"/>
              </w:rPr>
            </w:pPr>
          </w:p>
          <w:p w:rsidR="005251C3" w:rsidRPr="00EF10F1" w:rsidRDefault="005251C3" w:rsidP="00B376A4">
            <w:pPr>
              <w:jc w:val="both"/>
              <w:rPr>
                <w:sz w:val="16"/>
                <w:szCs w:val="18"/>
              </w:rPr>
            </w:pPr>
          </w:p>
          <w:p w:rsidR="005251C3" w:rsidRPr="00EF10F1" w:rsidRDefault="00497D69" w:rsidP="00B376A4">
            <w:pPr>
              <w:jc w:val="both"/>
              <w:rPr>
                <w:sz w:val="16"/>
                <w:szCs w:val="18"/>
              </w:rPr>
            </w:pPr>
            <w:r w:rsidRPr="00EF10F1">
              <w:rPr>
                <w:sz w:val="16"/>
                <w:szCs w:val="18"/>
              </w:rPr>
              <w:t xml:space="preserve">-  </w:t>
            </w:r>
            <w:r w:rsidR="00501842" w:rsidRPr="00EF10F1">
              <w:rPr>
                <w:sz w:val="16"/>
                <w:szCs w:val="18"/>
              </w:rPr>
              <w:t>No son actividades que la UAC realiza en la etapa de revisión.</w:t>
            </w:r>
          </w:p>
          <w:p w:rsidR="005251C3" w:rsidRPr="00EF10F1" w:rsidRDefault="005251C3" w:rsidP="00B376A4">
            <w:pPr>
              <w:jc w:val="both"/>
              <w:rPr>
                <w:sz w:val="16"/>
                <w:szCs w:val="18"/>
              </w:rPr>
            </w:pPr>
          </w:p>
          <w:p w:rsidR="00F1127F" w:rsidRPr="00EF10F1" w:rsidRDefault="00F1127F" w:rsidP="00B376A4">
            <w:pPr>
              <w:jc w:val="both"/>
              <w:rPr>
                <w:sz w:val="16"/>
                <w:szCs w:val="18"/>
              </w:rPr>
            </w:pPr>
          </w:p>
          <w:p w:rsidR="00501842" w:rsidRPr="00EF10F1" w:rsidRDefault="00501842" w:rsidP="00B376A4">
            <w:pPr>
              <w:jc w:val="both"/>
              <w:rPr>
                <w:sz w:val="16"/>
                <w:szCs w:val="18"/>
              </w:rPr>
            </w:pPr>
          </w:p>
          <w:p w:rsidR="00F1127F" w:rsidRPr="00EF10F1" w:rsidRDefault="005251C3" w:rsidP="00B376A4">
            <w:pPr>
              <w:jc w:val="both"/>
              <w:rPr>
                <w:sz w:val="16"/>
                <w:szCs w:val="18"/>
              </w:rPr>
            </w:pPr>
            <w:r w:rsidRPr="00EF10F1">
              <w:rPr>
                <w:sz w:val="16"/>
                <w:szCs w:val="18"/>
              </w:rPr>
              <w:t xml:space="preserve">- </w:t>
            </w:r>
            <w:r w:rsidR="00F1127F" w:rsidRPr="00EF10F1">
              <w:rPr>
                <w:sz w:val="16"/>
                <w:szCs w:val="18"/>
              </w:rPr>
              <w:t xml:space="preserve">El punto 5 refiere a la opinión en general de la norma. </w:t>
            </w:r>
          </w:p>
          <w:p w:rsidR="00F1127F" w:rsidRPr="00EF10F1" w:rsidRDefault="00F1127F" w:rsidP="00B376A4">
            <w:pPr>
              <w:jc w:val="both"/>
              <w:rPr>
                <w:sz w:val="16"/>
                <w:szCs w:val="18"/>
              </w:rPr>
            </w:pPr>
          </w:p>
          <w:p w:rsidR="00F1127F" w:rsidRPr="00EF10F1" w:rsidRDefault="00F1127F" w:rsidP="00B376A4">
            <w:pPr>
              <w:jc w:val="both"/>
              <w:rPr>
                <w:sz w:val="16"/>
                <w:szCs w:val="18"/>
              </w:rPr>
            </w:pPr>
            <w:r w:rsidRPr="00EF10F1">
              <w:rPr>
                <w:sz w:val="16"/>
                <w:szCs w:val="18"/>
              </w:rPr>
              <w:t xml:space="preserve">- </w:t>
            </w:r>
            <w:r w:rsidR="00FD2C09" w:rsidRPr="00EF10F1">
              <w:rPr>
                <w:sz w:val="16"/>
                <w:szCs w:val="18"/>
              </w:rPr>
              <w:t>Se incorporó en la entapa de definición, se sustituye que la UAP y UAE responda a través de la Cédula de Riesgos, ahora se señala que se</w:t>
            </w:r>
            <w:r w:rsidRPr="00EF10F1">
              <w:rPr>
                <w:sz w:val="16"/>
                <w:szCs w:val="18"/>
              </w:rPr>
              <w:t xml:space="preserve"> </w:t>
            </w:r>
            <w:r w:rsidR="00FD2C09" w:rsidRPr="00EF10F1">
              <w:rPr>
                <w:sz w:val="16"/>
                <w:szCs w:val="18"/>
              </w:rPr>
              <w:t>respondan a través de la Normateca Interna.</w:t>
            </w:r>
            <w:r w:rsidRPr="00EF10F1">
              <w:rPr>
                <w:sz w:val="16"/>
                <w:szCs w:val="18"/>
              </w:rPr>
              <w:t xml:space="preserve"> </w:t>
            </w:r>
          </w:p>
          <w:p w:rsidR="00F1127F" w:rsidRPr="00EF10F1" w:rsidRDefault="00F1127F" w:rsidP="00B376A4">
            <w:pPr>
              <w:jc w:val="both"/>
              <w:rPr>
                <w:sz w:val="16"/>
                <w:szCs w:val="18"/>
              </w:rPr>
            </w:pPr>
          </w:p>
          <w:p w:rsidR="00F1127F" w:rsidRPr="00EF10F1" w:rsidRDefault="00F1127F" w:rsidP="00B376A4">
            <w:pPr>
              <w:jc w:val="both"/>
              <w:rPr>
                <w:sz w:val="16"/>
                <w:szCs w:val="18"/>
              </w:rPr>
            </w:pPr>
          </w:p>
          <w:p w:rsidR="00FB18FA" w:rsidRDefault="00BA4061" w:rsidP="00B376A4">
            <w:pPr>
              <w:jc w:val="both"/>
              <w:rPr>
                <w:sz w:val="16"/>
                <w:szCs w:val="18"/>
              </w:rPr>
            </w:pPr>
            <w:r w:rsidRPr="00EF10F1">
              <w:rPr>
                <w:sz w:val="16"/>
                <w:szCs w:val="18"/>
              </w:rPr>
              <w:t xml:space="preserve">- </w:t>
            </w:r>
            <w:r w:rsidR="00FD2C09" w:rsidRPr="00EF10F1">
              <w:rPr>
                <w:sz w:val="16"/>
                <w:szCs w:val="18"/>
              </w:rPr>
              <w:t>Atendido, se incorporó en la etapa de definición</w:t>
            </w:r>
          </w:p>
          <w:p w:rsidR="00FF5EA9" w:rsidRDefault="00FF5EA9" w:rsidP="00B376A4">
            <w:pPr>
              <w:jc w:val="both"/>
              <w:rPr>
                <w:sz w:val="16"/>
                <w:szCs w:val="18"/>
              </w:rPr>
            </w:pPr>
          </w:p>
          <w:p w:rsidR="00FF5EA9" w:rsidRDefault="00FF5EA9" w:rsidP="00B376A4">
            <w:pPr>
              <w:jc w:val="both"/>
              <w:rPr>
                <w:sz w:val="16"/>
                <w:szCs w:val="18"/>
              </w:rPr>
            </w:pPr>
          </w:p>
          <w:p w:rsidR="00FF5EA9" w:rsidRDefault="00FF5EA9" w:rsidP="00B376A4">
            <w:pPr>
              <w:jc w:val="both"/>
              <w:rPr>
                <w:sz w:val="16"/>
                <w:szCs w:val="18"/>
              </w:rPr>
            </w:pPr>
          </w:p>
          <w:p w:rsidR="00FF5EA9" w:rsidRDefault="00FF5EA9" w:rsidP="00B376A4">
            <w:pPr>
              <w:jc w:val="both"/>
              <w:rPr>
                <w:sz w:val="16"/>
                <w:szCs w:val="18"/>
              </w:rPr>
            </w:pPr>
          </w:p>
          <w:p w:rsidR="002764E3" w:rsidRPr="002764E3" w:rsidRDefault="002764E3" w:rsidP="002764E3">
            <w:pPr>
              <w:jc w:val="both"/>
              <w:rPr>
                <w:sz w:val="16"/>
                <w:szCs w:val="18"/>
              </w:rPr>
            </w:pPr>
            <w:r>
              <w:rPr>
                <w:sz w:val="16"/>
                <w:szCs w:val="18"/>
              </w:rPr>
              <w:t>Adicionalmente, e</w:t>
            </w:r>
            <w:r w:rsidRPr="002764E3">
              <w:rPr>
                <w:sz w:val="16"/>
                <w:szCs w:val="18"/>
              </w:rPr>
              <w:t>n el primer párrafo segunda línea cambió “las normas internas” por “los documentos a revisar”.</w:t>
            </w:r>
          </w:p>
          <w:p w:rsidR="002764E3" w:rsidRPr="002764E3" w:rsidRDefault="002764E3" w:rsidP="002764E3">
            <w:pPr>
              <w:jc w:val="both"/>
              <w:rPr>
                <w:sz w:val="16"/>
                <w:szCs w:val="18"/>
              </w:rPr>
            </w:pPr>
            <w:r w:rsidRPr="002764E3">
              <w:rPr>
                <w:sz w:val="16"/>
                <w:szCs w:val="18"/>
              </w:rPr>
              <w:t>En el inciso a) primera y segunda línea se cambió “las normas administrativas” por “los documentos”.</w:t>
            </w:r>
          </w:p>
          <w:p w:rsidR="002764E3" w:rsidRPr="002764E3" w:rsidRDefault="002764E3" w:rsidP="002764E3">
            <w:pPr>
              <w:jc w:val="both"/>
              <w:rPr>
                <w:sz w:val="16"/>
                <w:szCs w:val="18"/>
              </w:rPr>
            </w:pPr>
            <w:r w:rsidRPr="002764E3">
              <w:rPr>
                <w:sz w:val="16"/>
                <w:szCs w:val="18"/>
              </w:rPr>
              <w:t xml:space="preserve">En el primer punto de la UAC, primera línea se eliminó “mediante correo electrónico”. </w:t>
            </w:r>
          </w:p>
          <w:p w:rsidR="002764E3" w:rsidRPr="002764E3" w:rsidRDefault="002764E3" w:rsidP="002764E3">
            <w:pPr>
              <w:jc w:val="both"/>
              <w:rPr>
                <w:sz w:val="16"/>
                <w:szCs w:val="18"/>
              </w:rPr>
            </w:pPr>
            <w:r w:rsidRPr="002764E3">
              <w:rPr>
                <w:sz w:val="16"/>
                <w:szCs w:val="18"/>
              </w:rPr>
              <w:t xml:space="preserve"> En el segundo punto de la UAC, segunda línea se cambió “de cada UAA” por “del Grupo de Trabajo”.</w:t>
            </w:r>
          </w:p>
          <w:p w:rsidR="002764E3" w:rsidRPr="002764E3" w:rsidRDefault="002764E3" w:rsidP="002764E3">
            <w:pPr>
              <w:jc w:val="both"/>
              <w:rPr>
                <w:sz w:val="16"/>
                <w:szCs w:val="18"/>
              </w:rPr>
            </w:pPr>
            <w:r w:rsidRPr="002764E3">
              <w:rPr>
                <w:sz w:val="16"/>
                <w:szCs w:val="18"/>
              </w:rPr>
              <w:t>En el tercer punto de la UAC, primera línea se agregó “y/o UAP requisite y envíe” y se eliminó proporcione, asimismo en la tercera línea se eliminó “que contienen la información indispensable”.</w:t>
            </w:r>
          </w:p>
          <w:p w:rsidR="002764E3" w:rsidRPr="002764E3" w:rsidRDefault="002764E3" w:rsidP="002764E3">
            <w:pPr>
              <w:jc w:val="both"/>
              <w:rPr>
                <w:sz w:val="16"/>
                <w:szCs w:val="18"/>
              </w:rPr>
            </w:pPr>
            <w:r w:rsidRPr="002764E3">
              <w:rPr>
                <w:sz w:val="16"/>
                <w:szCs w:val="18"/>
              </w:rPr>
              <w:t xml:space="preserve">En el inciso a) de la UAA, tercer punto primera línea se agregó “el emisor”. </w:t>
            </w:r>
          </w:p>
          <w:p w:rsidR="00FF5EA9" w:rsidRPr="00EF10F1" w:rsidRDefault="002764E3" w:rsidP="00B376A4">
            <w:pPr>
              <w:jc w:val="both"/>
              <w:rPr>
                <w:sz w:val="16"/>
                <w:szCs w:val="18"/>
              </w:rPr>
            </w:pPr>
            <w:r w:rsidRPr="002764E3">
              <w:rPr>
                <w:sz w:val="16"/>
                <w:szCs w:val="18"/>
              </w:rPr>
              <w:t>En el inciso b) de la UAA tercer punto se cambió “que las normas sean acordes” por “que la norma sea acorde”.</w:t>
            </w:r>
            <w:bookmarkStart w:id="0" w:name="_GoBack"/>
            <w:bookmarkEnd w:id="0"/>
          </w:p>
        </w:tc>
      </w:tr>
      <w:tr w:rsidR="00FB18FA" w:rsidRPr="00EF10F1" w:rsidTr="002764E3">
        <w:trPr>
          <w:trHeight w:val="691"/>
        </w:trPr>
        <w:tc>
          <w:tcPr>
            <w:tcW w:w="567" w:type="dxa"/>
            <w:vAlign w:val="center"/>
          </w:tcPr>
          <w:p w:rsidR="00FB18FA" w:rsidRPr="00EF10F1" w:rsidRDefault="00FB18FA" w:rsidP="00B436CA">
            <w:pPr>
              <w:jc w:val="center"/>
              <w:rPr>
                <w:rFonts w:ascii="Arial" w:hAnsi="Arial" w:cs="Arial"/>
                <w:sz w:val="16"/>
                <w:szCs w:val="18"/>
              </w:rPr>
            </w:pPr>
            <w:r w:rsidRPr="00EF10F1">
              <w:rPr>
                <w:rFonts w:ascii="Arial" w:hAnsi="Arial" w:cs="Arial"/>
                <w:sz w:val="16"/>
                <w:szCs w:val="18"/>
              </w:rPr>
              <w:t>9</w:t>
            </w:r>
          </w:p>
        </w:tc>
        <w:tc>
          <w:tcPr>
            <w:tcW w:w="3544" w:type="dxa"/>
            <w:vAlign w:val="center"/>
          </w:tcPr>
          <w:p w:rsidR="00FB18FA" w:rsidRPr="00EF10F1" w:rsidRDefault="00FB18FA" w:rsidP="00B436CA">
            <w:pPr>
              <w:pStyle w:val="Default"/>
              <w:rPr>
                <w:rFonts w:ascii="Soberana Sans" w:hAnsi="Soberana Sans" w:cs="Times New Roman"/>
                <w:sz w:val="16"/>
                <w:szCs w:val="18"/>
              </w:rPr>
            </w:pPr>
            <w:r w:rsidRPr="00EF10F1">
              <w:rPr>
                <w:rFonts w:ascii="Soberana Sans" w:hAnsi="Soberana Sans"/>
                <w:b/>
                <w:bCs/>
                <w:sz w:val="16"/>
                <w:szCs w:val="18"/>
              </w:rPr>
              <w:t>5.3 Definición</w:t>
            </w:r>
            <w:r w:rsidRPr="00EF10F1">
              <w:rPr>
                <w:rFonts w:ascii="Soberana Sans" w:hAnsi="Soberana Sans" w:cs="Times New Roman"/>
                <w:sz w:val="16"/>
                <w:szCs w:val="18"/>
              </w:rPr>
              <w:t xml:space="preserve"> </w:t>
            </w:r>
          </w:p>
        </w:tc>
        <w:tc>
          <w:tcPr>
            <w:tcW w:w="4898" w:type="dxa"/>
            <w:vAlign w:val="center"/>
          </w:tcPr>
          <w:p w:rsidR="00FB18FA" w:rsidRPr="00EF10F1" w:rsidRDefault="00FB18FA" w:rsidP="00B436CA">
            <w:pPr>
              <w:jc w:val="both"/>
              <w:rPr>
                <w:sz w:val="16"/>
                <w:szCs w:val="18"/>
              </w:rPr>
            </w:pPr>
            <w:r w:rsidRPr="00EF10F1">
              <w:rPr>
                <w:sz w:val="16"/>
                <w:szCs w:val="18"/>
              </w:rPr>
              <w:t>- Señalar el tiempo o plazo para:</w:t>
            </w:r>
          </w:p>
          <w:p w:rsidR="00FB18FA" w:rsidRPr="00EF10F1" w:rsidRDefault="00FB18FA" w:rsidP="00B436CA">
            <w:pPr>
              <w:jc w:val="both"/>
              <w:rPr>
                <w:sz w:val="16"/>
                <w:szCs w:val="18"/>
              </w:rPr>
            </w:pPr>
            <w:r w:rsidRPr="00EF10F1">
              <w:rPr>
                <w:sz w:val="16"/>
                <w:szCs w:val="18"/>
              </w:rPr>
              <w:t>Elaborar la Cédula LEPAENI-04</w:t>
            </w:r>
          </w:p>
          <w:p w:rsidR="00FB18FA" w:rsidRPr="00EF10F1" w:rsidRDefault="00FB18FA" w:rsidP="00B436CA">
            <w:pPr>
              <w:jc w:val="both"/>
              <w:rPr>
                <w:sz w:val="16"/>
                <w:szCs w:val="18"/>
              </w:rPr>
            </w:pPr>
            <w:r w:rsidRPr="00EF10F1">
              <w:rPr>
                <w:sz w:val="16"/>
                <w:szCs w:val="18"/>
              </w:rPr>
              <w:t>Atención de las observaciones por parte de las UAE o UAP y Grupo de Trabajo.</w:t>
            </w:r>
          </w:p>
          <w:p w:rsidR="00FB18FA" w:rsidRPr="00EF10F1" w:rsidRDefault="00FB18FA" w:rsidP="00B436CA">
            <w:pPr>
              <w:jc w:val="both"/>
              <w:rPr>
                <w:sz w:val="16"/>
                <w:szCs w:val="18"/>
              </w:rPr>
            </w:pPr>
            <w:r w:rsidRPr="00EF10F1">
              <w:rPr>
                <w:sz w:val="16"/>
                <w:szCs w:val="18"/>
              </w:rPr>
              <w:t>Formalización de la Cédula de Riesgos.</w:t>
            </w:r>
          </w:p>
        </w:tc>
        <w:tc>
          <w:tcPr>
            <w:tcW w:w="4854" w:type="dxa"/>
          </w:tcPr>
          <w:p w:rsidR="00FB18FA" w:rsidRPr="00EF10F1" w:rsidRDefault="00BA4061" w:rsidP="00B376A4">
            <w:pPr>
              <w:jc w:val="both"/>
              <w:rPr>
                <w:sz w:val="16"/>
                <w:szCs w:val="18"/>
              </w:rPr>
            </w:pPr>
            <w:r w:rsidRPr="00EF10F1">
              <w:rPr>
                <w:sz w:val="16"/>
                <w:szCs w:val="18"/>
              </w:rPr>
              <w:t xml:space="preserve">- Los plazos son variables, toda vez que dependen de la complejidad de las normas. </w:t>
            </w:r>
          </w:p>
          <w:p w:rsidR="008666D3" w:rsidRDefault="008666D3" w:rsidP="00B376A4">
            <w:pPr>
              <w:jc w:val="both"/>
              <w:rPr>
                <w:sz w:val="16"/>
                <w:szCs w:val="18"/>
              </w:rPr>
            </w:pPr>
            <w:r w:rsidRPr="00EF10F1">
              <w:rPr>
                <w:sz w:val="16"/>
                <w:szCs w:val="18"/>
              </w:rPr>
              <w:t>Se estableció 15 días hábiles para la atención de observaciones por parte de las UAE y UAE.</w:t>
            </w:r>
          </w:p>
          <w:p w:rsidR="002764E3" w:rsidRDefault="002764E3" w:rsidP="00B376A4">
            <w:pPr>
              <w:jc w:val="both"/>
              <w:rPr>
                <w:sz w:val="16"/>
                <w:szCs w:val="18"/>
              </w:rPr>
            </w:pPr>
          </w:p>
          <w:p w:rsidR="002764E3" w:rsidRPr="00EF10F1" w:rsidRDefault="002764E3" w:rsidP="002764E3">
            <w:pPr>
              <w:rPr>
                <w:sz w:val="16"/>
                <w:szCs w:val="18"/>
              </w:rPr>
            </w:pPr>
            <w:r>
              <w:rPr>
                <w:sz w:val="16"/>
                <w:szCs w:val="18"/>
              </w:rPr>
              <w:t xml:space="preserve">Adicionalmente, </w:t>
            </w:r>
            <w:r w:rsidRPr="002764E3">
              <w:rPr>
                <w:sz w:val="16"/>
                <w:szCs w:val="18"/>
              </w:rPr>
              <w:t>e</w:t>
            </w:r>
            <w:r w:rsidRPr="002764E3">
              <w:rPr>
                <w:sz w:val="16"/>
                <w:szCs w:val="18"/>
              </w:rPr>
              <w:t xml:space="preserve">n el segundo párrafo segunda línea se eliminó “en el proyecto de la norma interna” y se cambió “registrar” por “validar”. </w:t>
            </w:r>
          </w:p>
        </w:tc>
      </w:tr>
      <w:tr w:rsidR="00FB18FA" w:rsidRPr="00EF10F1" w:rsidTr="002764E3">
        <w:trPr>
          <w:trHeight w:val="691"/>
        </w:trPr>
        <w:tc>
          <w:tcPr>
            <w:tcW w:w="567" w:type="dxa"/>
            <w:vAlign w:val="center"/>
          </w:tcPr>
          <w:p w:rsidR="00FB18FA" w:rsidRPr="00EF10F1" w:rsidRDefault="00FB18FA" w:rsidP="00B436CA">
            <w:pPr>
              <w:jc w:val="center"/>
              <w:rPr>
                <w:rFonts w:ascii="Arial" w:hAnsi="Arial" w:cs="Arial"/>
                <w:sz w:val="16"/>
                <w:szCs w:val="18"/>
              </w:rPr>
            </w:pPr>
            <w:r w:rsidRPr="00EF10F1">
              <w:rPr>
                <w:rFonts w:ascii="Arial" w:hAnsi="Arial" w:cs="Arial"/>
                <w:sz w:val="16"/>
                <w:szCs w:val="18"/>
              </w:rPr>
              <w:t>10</w:t>
            </w: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5.4 Autorización</w:t>
            </w:r>
            <w:r w:rsidRPr="00EF10F1">
              <w:rPr>
                <w:rFonts w:ascii="Soberana Sans" w:hAnsi="Soberana Sans" w:cs="Times New Roman"/>
                <w:sz w:val="16"/>
                <w:szCs w:val="18"/>
              </w:rPr>
              <w:t xml:space="preserve"> </w:t>
            </w:r>
          </w:p>
        </w:tc>
        <w:tc>
          <w:tcPr>
            <w:tcW w:w="4898" w:type="dxa"/>
            <w:vAlign w:val="center"/>
          </w:tcPr>
          <w:p w:rsidR="00FB18FA" w:rsidRPr="00EF10F1" w:rsidRDefault="00FB18FA" w:rsidP="006F7AE6">
            <w:pPr>
              <w:jc w:val="both"/>
              <w:rPr>
                <w:sz w:val="16"/>
                <w:szCs w:val="18"/>
              </w:rPr>
            </w:pPr>
            <w:r w:rsidRPr="00EF10F1">
              <w:rPr>
                <w:sz w:val="16"/>
                <w:szCs w:val="18"/>
              </w:rPr>
              <w:t>- Señalar el tiempo o plazo para:</w:t>
            </w:r>
          </w:p>
          <w:p w:rsidR="00FB18FA" w:rsidRPr="00EF10F1" w:rsidRDefault="00FB18FA" w:rsidP="00B436CA">
            <w:pPr>
              <w:jc w:val="both"/>
              <w:rPr>
                <w:sz w:val="16"/>
                <w:szCs w:val="18"/>
              </w:rPr>
            </w:pPr>
            <w:r w:rsidRPr="00EF10F1">
              <w:rPr>
                <w:sz w:val="16"/>
                <w:szCs w:val="18"/>
              </w:rPr>
              <w:t>Notificar la conclusión del proceso interno de revisión.</w:t>
            </w:r>
          </w:p>
          <w:p w:rsidR="00FB18FA" w:rsidRPr="00EF10F1" w:rsidRDefault="00FB18FA" w:rsidP="00B436CA">
            <w:pPr>
              <w:jc w:val="both"/>
              <w:rPr>
                <w:sz w:val="16"/>
                <w:szCs w:val="18"/>
              </w:rPr>
            </w:pPr>
            <w:r w:rsidRPr="00EF10F1">
              <w:rPr>
                <w:sz w:val="16"/>
                <w:szCs w:val="18"/>
              </w:rPr>
              <w:t>Elaborar y suscribir el dictamen técnico.</w:t>
            </w:r>
          </w:p>
          <w:p w:rsidR="00FB18FA" w:rsidRPr="00EF10F1" w:rsidRDefault="00FB18FA" w:rsidP="00B436CA">
            <w:pPr>
              <w:jc w:val="both"/>
              <w:rPr>
                <w:sz w:val="16"/>
                <w:szCs w:val="18"/>
              </w:rPr>
            </w:pPr>
            <w:r w:rsidRPr="00EF10F1">
              <w:rPr>
                <w:sz w:val="16"/>
                <w:szCs w:val="18"/>
              </w:rPr>
              <w:t>Difusión de la norma interna eliminada y envió de la evidencia.</w:t>
            </w:r>
          </w:p>
          <w:p w:rsidR="00FB18FA" w:rsidRPr="00EF10F1" w:rsidRDefault="00FB18FA" w:rsidP="00B436CA">
            <w:pPr>
              <w:jc w:val="both"/>
              <w:rPr>
                <w:sz w:val="16"/>
                <w:szCs w:val="18"/>
              </w:rPr>
            </w:pPr>
            <w:r w:rsidRPr="00EF10F1">
              <w:rPr>
                <w:sz w:val="16"/>
                <w:szCs w:val="18"/>
              </w:rPr>
              <w:t>Autorización de la norma actualizada o nueva por parte de servidor público facultado.</w:t>
            </w:r>
          </w:p>
          <w:p w:rsidR="00FB18FA" w:rsidRPr="00EF10F1" w:rsidRDefault="00FB18FA" w:rsidP="00407A6D">
            <w:pPr>
              <w:jc w:val="both"/>
              <w:rPr>
                <w:sz w:val="16"/>
                <w:szCs w:val="18"/>
              </w:rPr>
            </w:pPr>
          </w:p>
        </w:tc>
        <w:tc>
          <w:tcPr>
            <w:tcW w:w="4854" w:type="dxa"/>
          </w:tcPr>
          <w:p w:rsidR="00FB18FA" w:rsidRPr="00EF10F1" w:rsidRDefault="00BA4061" w:rsidP="00B376A4">
            <w:pPr>
              <w:jc w:val="both"/>
              <w:rPr>
                <w:sz w:val="16"/>
                <w:szCs w:val="18"/>
              </w:rPr>
            </w:pPr>
            <w:r w:rsidRPr="00EF10F1">
              <w:rPr>
                <w:sz w:val="16"/>
                <w:szCs w:val="18"/>
              </w:rPr>
              <w:t>- Los plazos son variables, toda vez que dependen de la complejidad de las normas.</w:t>
            </w:r>
          </w:p>
        </w:tc>
      </w:tr>
      <w:tr w:rsidR="00FB18FA" w:rsidRPr="00EF10F1" w:rsidTr="002764E3">
        <w:trPr>
          <w:cantSplit/>
        </w:trPr>
        <w:tc>
          <w:tcPr>
            <w:tcW w:w="567" w:type="dxa"/>
            <w:vAlign w:val="center"/>
          </w:tcPr>
          <w:p w:rsidR="00FB18FA" w:rsidRPr="00EF10F1" w:rsidRDefault="00FB18FA" w:rsidP="00B436CA">
            <w:pPr>
              <w:jc w:val="center"/>
              <w:rPr>
                <w:rFonts w:ascii="Arial" w:hAnsi="Arial" w:cs="Arial"/>
                <w:sz w:val="16"/>
                <w:szCs w:val="18"/>
              </w:rPr>
            </w:pP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5.5 Difusión y registro</w:t>
            </w:r>
            <w:r w:rsidRPr="00EF10F1">
              <w:rPr>
                <w:rFonts w:ascii="Soberana Sans" w:hAnsi="Soberana Sans" w:cs="Times New Roman"/>
                <w:sz w:val="16"/>
                <w:szCs w:val="18"/>
              </w:rPr>
              <w:t xml:space="preserve"> </w:t>
            </w:r>
          </w:p>
        </w:tc>
        <w:tc>
          <w:tcPr>
            <w:tcW w:w="4898" w:type="dxa"/>
            <w:vAlign w:val="center"/>
          </w:tcPr>
          <w:p w:rsidR="00FB18FA" w:rsidRPr="00EF10F1" w:rsidRDefault="00FB18FA" w:rsidP="002764E3">
            <w:pPr>
              <w:rPr>
                <w:sz w:val="16"/>
                <w:szCs w:val="18"/>
              </w:rPr>
            </w:pPr>
            <w:r w:rsidRPr="00EF10F1">
              <w:rPr>
                <w:sz w:val="16"/>
                <w:szCs w:val="18"/>
              </w:rPr>
              <w:t>-Señalar plazos:</w:t>
            </w:r>
          </w:p>
          <w:p w:rsidR="00FB18FA" w:rsidRPr="00EF10F1" w:rsidRDefault="00FB18FA" w:rsidP="00B436CA">
            <w:pPr>
              <w:jc w:val="both"/>
              <w:rPr>
                <w:sz w:val="16"/>
                <w:szCs w:val="18"/>
              </w:rPr>
            </w:pPr>
            <w:r w:rsidRPr="00EF10F1">
              <w:rPr>
                <w:sz w:val="16"/>
                <w:szCs w:val="18"/>
              </w:rPr>
              <w:t>Publicación de la disposición en la normateca interna.</w:t>
            </w:r>
          </w:p>
          <w:p w:rsidR="00FB18FA" w:rsidRPr="00EF10F1" w:rsidRDefault="00FB18FA" w:rsidP="00B436CA">
            <w:pPr>
              <w:jc w:val="both"/>
              <w:rPr>
                <w:sz w:val="16"/>
                <w:szCs w:val="18"/>
              </w:rPr>
            </w:pPr>
            <w:r w:rsidRPr="00EF10F1">
              <w:rPr>
                <w:sz w:val="16"/>
                <w:szCs w:val="18"/>
              </w:rPr>
              <w:t>Gestión para publicación de datos en el DOF.</w:t>
            </w:r>
          </w:p>
          <w:p w:rsidR="00FB18FA" w:rsidRPr="00EF10F1" w:rsidRDefault="00FB18FA" w:rsidP="00B436CA">
            <w:pPr>
              <w:jc w:val="both"/>
              <w:rPr>
                <w:sz w:val="16"/>
                <w:szCs w:val="18"/>
              </w:rPr>
            </w:pPr>
            <w:r w:rsidRPr="00EF10F1">
              <w:rPr>
                <w:sz w:val="16"/>
                <w:szCs w:val="18"/>
              </w:rPr>
              <w:t>Registro en el SANI-APF.</w:t>
            </w:r>
          </w:p>
          <w:p w:rsidR="00FB18FA" w:rsidRPr="00EF10F1" w:rsidRDefault="00FB18FA" w:rsidP="00B436CA">
            <w:pPr>
              <w:jc w:val="both"/>
              <w:rPr>
                <w:sz w:val="16"/>
                <w:szCs w:val="18"/>
              </w:rPr>
            </w:pPr>
          </w:p>
          <w:p w:rsidR="00FB18FA" w:rsidRPr="00EF10F1" w:rsidRDefault="00FB18FA" w:rsidP="005E5D53">
            <w:pPr>
              <w:jc w:val="both"/>
              <w:rPr>
                <w:sz w:val="16"/>
                <w:szCs w:val="18"/>
              </w:rPr>
            </w:pPr>
            <w:r w:rsidRPr="00EF10F1">
              <w:rPr>
                <w:sz w:val="16"/>
                <w:szCs w:val="18"/>
              </w:rPr>
              <w:t>-Indicar que la UAJ debe informar a la DGPOP el día hábil posterior a la publicación de los datos de identificación de las disposiciones en el DOF.</w:t>
            </w:r>
          </w:p>
        </w:tc>
        <w:tc>
          <w:tcPr>
            <w:tcW w:w="4854" w:type="dxa"/>
          </w:tcPr>
          <w:p w:rsidR="00BA4061" w:rsidRDefault="00BA4061" w:rsidP="00B376A4">
            <w:pPr>
              <w:jc w:val="both"/>
              <w:rPr>
                <w:sz w:val="16"/>
                <w:szCs w:val="18"/>
              </w:rPr>
            </w:pPr>
            <w:r w:rsidRPr="00EF10F1">
              <w:rPr>
                <w:sz w:val="16"/>
                <w:szCs w:val="18"/>
              </w:rPr>
              <w:t>- Los plazos son variables, toda vez que dependen de la complejidad de las normas.</w:t>
            </w:r>
          </w:p>
          <w:p w:rsidR="002764E3" w:rsidRDefault="002764E3" w:rsidP="00B376A4">
            <w:pPr>
              <w:jc w:val="both"/>
              <w:rPr>
                <w:sz w:val="16"/>
                <w:szCs w:val="18"/>
              </w:rPr>
            </w:pPr>
          </w:p>
          <w:p w:rsidR="00FB18FA" w:rsidRDefault="002764E3" w:rsidP="00B376A4">
            <w:pPr>
              <w:jc w:val="both"/>
              <w:rPr>
                <w:sz w:val="16"/>
                <w:szCs w:val="18"/>
              </w:rPr>
            </w:pPr>
            <w:r>
              <w:rPr>
                <w:sz w:val="16"/>
                <w:szCs w:val="18"/>
              </w:rPr>
              <w:t>-</w:t>
            </w:r>
            <w:r w:rsidR="008666D3" w:rsidRPr="00EF10F1">
              <w:rPr>
                <w:sz w:val="16"/>
                <w:szCs w:val="18"/>
              </w:rPr>
              <w:t xml:space="preserve"> Atendido, a reserva de que la UAJ indiq</w:t>
            </w:r>
            <w:r>
              <w:rPr>
                <w:sz w:val="16"/>
                <w:szCs w:val="18"/>
              </w:rPr>
              <w:t>ue si es viable la notificación.</w:t>
            </w:r>
          </w:p>
          <w:p w:rsidR="002764E3" w:rsidRDefault="002764E3" w:rsidP="00B376A4">
            <w:pPr>
              <w:jc w:val="both"/>
              <w:rPr>
                <w:sz w:val="16"/>
                <w:szCs w:val="18"/>
              </w:rPr>
            </w:pPr>
          </w:p>
          <w:p w:rsidR="002764E3" w:rsidRPr="00CC6126" w:rsidRDefault="002764E3" w:rsidP="002764E3">
            <w:pPr>
              <w:rPr>
                <w:rFonts w:ascii="Arial" w:hAnsi="Arial" w:cs="Arial"/>
                <w:szCs w:val="24"/>
              </w:rPr>
            </w:pPr>
            <w:r>
              <w:rPr>
                <w:sz w:val="16"/>
                <w:szCs w:val="18"/>
              </w:rPr>
              <w:t>Adicionalmente, e</w:t>
            </w:r>
            <w:r w:rsidRPr="002764E3">
              <w:rPr>
                <w:sz w:val="16"/>
                <w:szCs w:val="18"/>
              </w:rPr>
              <w:t>n el tercer párrafo segunda línea se cambió “Sistema de Administración de Normas Internas” por “Inventario de Normas Internas” y se eliminó (SANI APF).</w:t>
            </w:r>
            <w:r w:rsidRPr="00CC6126">
              <w:rPr>
                <w:rFonts w:ascii="Arial" w:hAnsi="Arial" w:cs="Arial"/>
                <w:szCs w:val="24"/>
              </w:rPr>
              <w:t xml:space="preserve"> </w:t>
            </w:r>
          </w:p>
          <w:p w:rsidR="002764E3" w:rsidRPr="00EF10F1" w:rsidRDefault="002764E3" w:rsidP="00B376A4">
            <w:pPr>
              <w:jc w:val="both"/>
              <w:rPr>
                <w:sz w:val="16"/>
                <w:szCs w:val="18"/>
              </w:rPr>
            </w:pPr>
          </w:p>
        </w:tc>
      </w:tr>
      <w:tr w:rsidR="00FB18FA" w:rsidRPr="00EF10F1" w:rsidTr="002764E3">
        <w:trPr>
          <w:trHeight w:val="691"/>
        </w:trPr>
        <w:tc>
          <w:tcPr>
            <w:tcW w:w="567" w:type="dxa"/>
            <w:vAlign w:val="center"/>
          </w:tcPr>
          <w:p w:rsidR="00FB18FA" w:rsidRPr="00EF10F1" w:rsidRDefault="00FB18FA" w:rsidP="00B436CA">
            <w:pPr>
              <w:jc w:val="center"/>
              <w:rPr>
                <w:rFonts w:ascii="Arial" w:hAnsi="Arial" w:cs="Arial"/>
                <w:sz w:val="16"/>
                <w:szCs w:val="18"/>
              </w:rPr>
            </w:pP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6. Lineamientos generales</w:t>
            </w:r>
            <w:r w:rsidRPr="00EF10F1">
              <w:rPr>
                <w:rFonts w:ascii="Soberana Sans" w:hAnsi="Soberana Sans" w:cs="Times New Roman"/>
                <w:sz w:val="16"/>
                <w:szCs w:val="18"/>
              </w:rPr>
              <w:t xml:space="preserve"> </w:t>
            </w:r>
          </w:p>
        </w:tc>
        <w:tc>
          <w:tcPr>
            <w:tcW w:w="4898" w:type="dxa"/>
            <w:vAlign w:val="center"/>
          </w:tcPr>
          <w:p w:rsidR="00FB18FA" w:rsidRPr="00EF10F1" w:rsidRDefault="00FB18FA" w:rsidP="00B436CA">
            <w:pPr>
              <w:jc w:val="both"/>
              <w:rPr>
                <w:sz w:val="16"/>
                <w:szCs w:val="18"/>
              </w:rPr>
            </w:pPr>
            <w:r w:rsidRPr="00EF10F1">
              <w:rPr>
                <w:sz w:val="16"/>
                <w:szCs w:val="18"/>
              </w:rPr>
              <w:t>Se recomienda señalar:</w:t>
            </w:r>
          </w:p>
          <w:p w:rsidR="00FB18FA" w:rsidRPr="00EF10F1" w:rsidRDefault="00FB18FA" w:rsidP="00B436CA">
            <w:pPr>
              <w:jc w:val="both"/>
              <w:rPr>
                <w:sz w:val="16"/>
                <w:szCs w:val="18"/>
              </w:rPr>
            </w:pPr>
            <w:r w:rsidRPr="00EF10F1">
              <w:rPr>
                <w:sz w:val="16"/>
                <w:szCs w:val="18"/>
              </w:rPr>
              <w:t>Durante el proceso de Mejora Regulatoria Interna, cuando las observaciones al anteproyecto del Instrumento Normativo no se realicen en los plazos señalados, se informará al Órgano Interno de Control para determinar las responsabilidades administrativas correspondientes.</w:t>
            </w:r>
          </w:p>
        </w:tc>
        <w:tc>
          <w:tcPr>
            <w:tcW w:w="4854" w:type="dxa"/>
          </w:tcPr>
          <w:p w:rsidR="00BA4061" w:rsidRPr="00EF10F1" w:rsidRDefault="00BA4061" w:rsidP="00B376A4">
            <w:pPr>
              <w:jc w:val="both"/>
              <w:rPr>
                <w:sz w:val="16"/>
                <w:szCs w:val="18"/>
              </w:rPr>
            </w:pPr>
          </w:p>
          <w:p w:rsidR="00FB18FA" w:rsidRPr="00EF10F1" w:rsidRDefault="00BA4061" w:rsidP="00B376A4">
            <w:pPr>
              <w:jc w:val="both"/>
              <w:rPr>
                <w:sz w:val="16"/>
                <w:szCs w:val="18"/>
              </w:rPr>
            </w:pPr>
            <w:r w:rsidRPr="00EF10F1">
              <w:rPr>
                <w:sz w:val="16"/>
                <w:szCs w:val="18"/>
              </w:rPr>
              <w:t>- Ya se señala en las Disposiciones Generales</w:t>
            </w:r>
            <w:r w:rsidR="003E1DCF" w:rsidRPr="00EF10F1">
              <w:rPr>
                <w:sz w:val="16"/>
                <w:szCs w:val="18"/>
              </w:rPr>
              <w:t>.</w:t>
            </w:r>
            <w:r w:rsidRPr="00EF10F1">
              <w:rPr>
                <w:sz w:val="16"/>
                <w:szCs w:val="18"/>
              </w:rPr>
              <w:t xml:space="preserve"> </w:t>
            </w:r>
          </w:p>
        </w:tc>
      </w:tr>
      <w:tr w:rsidR="00FB18FA" w:rsidRPr="00EF10F1" w:rsidTr="002764E3">
        <w:trPr>
          <w:trHeight w:val="691"/>
        </w:trPr>
        <w:tc>
          <w:tcPr>
            <w:tcW w:w="567" w:type="dxa"/>
            <w:vAlign w:val="center"/>
          </w:tcPr>
          <w:p w:rsidR="00FB18FA" w:rsidRPr="00EF10F1" w:rsidRDefault="00FB18FA" w:rsidP="00B436CA">
            <w:pPr>
              <w:jc w:val="center"/>
              <w:rPr>
                <w:rFonts w:ascii="Arial" w:hAnsi="Arial" w:cs="Arial"/>
                <w:sz w:val="16"/>
                <w:szCs w:val="18"/>
              </w:rPr>
            </w:pP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De los requisitos</w:t>
            </w:r>
            <w:r w:rsidRPr="00EF10F1">
              <w:rPr>
                <w:rFonts w:ascii="Soberana Sans" w:hAnsi="Soberana Sans" w:cs="Times New Roman"/>
                <w:sz w:val="16"/>
                <w:szCs w:val="18"/>
              </w:rPr>
              <w:t xml:space="preserve"> </w:t>
            </w:r>
          </w:p>
        </w:tc>
        <w:tc>
          <w:tcPr>
            <w:tcW w:w="4898" w:type="dxa"/>
            <w:vAlign w:val="center"/>
          </w:tcPr>
          <w:p w:rsidR="00FB18FA" w:rsidRPr="00EF10F1" w:rsidRDefault="00FB18FA" w:rsidP="00B436CA">
            <w:pPr>
              <w:jc w:val="both"/>
              <w:rPr>
                <w:color w:val="FF0000"/>
                <w:sz w:val="16"/>
                <w:szCs w:val="18"/>
              </w:rPr>
            </w:pPr>
            <w:r w:rsidRPr="00EF10F1">
              <w:rPr>
                <w:sz w:val="16"/>
                <w:szCs w:val="18"/>
              </w:rPr>
              <w:t>- Precisar los supuestos para la determinación de las normas, referidos en los lineamientos 6.2, 6.3 y 6.4</w:t>
            </w:r>
          </w:p>
          <w:p w:rsidR="00FB18FA" w:rsidRPr="00EF10F1" w:rsidRDefault="00FB18FA" w:rsidP="00B436CA">
            <w:pPr>
              <w:jc w:val="both"/>
              <w:rPr>
                <w:sz w:val="16"/>
                <w:szCs w:val="18"/>
              </w:rPr>
            </w:pPr>
          </w:p>
          <w:p w:rsidR="00FB18FA" w:rsidRPr="00EF10F1" w:rsidRDefault="00FB18FA" w:rsidP="00B436CA">
            <w:pPr>
              <w:jc w:val="both"/>
              <w:rPr>
                <w:b/>
                <w:sz w:val="16"/>
                <w:szCs w:val="18"/>
              </w:rPr>
            </w:pPr>
            <w:r w:rsidRPr="00EF10F1">
              <w:rPr>
                <w:b/>
                <w:sz w:val="16"/>
                <w:szCs w:val="18"/>
              </w:rPr>
              <w:t xml:space="preserve">-Punto 6.3: </w:t>
            </w:r>
            <w:r w:rsidRPr="00EF10F1">
              <w:rPr>
                <w:sz w:val="16"/>
                <w:szCs w:val="18"/>
              </w:rPr>
              <w:t>Modificar el nombre del formato. Dice: LEPAENI-F01 Debe decir: LEPAENI-F03</w:t>
            </w:r>
          </w:p>
        </w:tc>
        <w:tc>
          <w:tcPr>
            <w:tcW w:w="4854" w:type="dxa"/>
          </w:tcPr>
          <w:p w:rsidR="003E1DCF" w:rsidRPr="00EF10F1" w:rsidRDefault="003E1DCF" w:rsidP="00B376A4">
            <w:pPr>
              <w:jc w:val="both"/>
              <w:rPr>
                <w:sz w:val="16"/>
                <w:szCs w:val="18"/>
              </w:rPr>
            </w:pPr>
            <w:r w:rsidRPr="00EF10F1">
              <w:rPr>
                <w:sz w:val="16"/>
                <w:szCs w:val="18"/>
              </w:rPr>
              <w:t>- Se modificó para simplificar el apartado de requisitos.</w:t>
            </w:r>
          </w:p>
          <w:p w:rsidR="003E1DCF" w:rsidRPr="00EF10F1" w:rsidRDefault="003E1DCF" w:rsidP="00B376A4">
            <w:pPr>
              <w:jc w:val="both"/>
              <w:rPr>
                <w:sz w:val="16"/>
                <w:szCs w:val="18"/>
              </w:rPr>
            </w:pPr>
          </w:p>
          <w:p w:rsidR="003E1DCF" w:rsidRPr="00EF10F1" w:rsidRDefault="003E1DCF" w:rsidP="00B376A4">
            <w:pPr>
              <w:jc w:val="both"/>
              <w:rPr>
                <w:sz w:val="16"/>
                <w:szCs w:val="18"/>
              </w:rPr>
            </w:pPr>
          </w:p>
          <w:p w:rsidR="00FB18FA" w:rsidRPr="00EF10F1" w:rsidRDefault="003E1DCF" w:rsidP="00B376A4">
            <w:pPr>
              <w:jc w:val="both"/>
              <w:rPr>
                <w:sz w:val="16"/>
                <w:szCs w:val="18"/>
              </w:rPr>
            </w:pPr>
            <w:r w:rsidRPr="00EF10F1">
              <w:rPr>
                <w:sz w:val="16"/>
                <w:szCs w:val="18"/>
              </w:rPr>
              <w:t xml:space="preserve">- Atendido. </w:t>
            </w:r>
          </w:p>
        </w:tc>
      </w:tr>
      <w:tr w:rsidR="00FB18FA" w:rsidRPr="00EF10F1" w:rsidTr="002764E3">
        <w:trPr>
          <w:trHeight w:val="691"/>
        </w:trPr>
        <w:tc>
          <w:tcPr>
            <w:tcW w:w="567" w:type="dxa"/>
            <w:vAlign w:val="center"/>
          </w:tcPr>
          <w:p w:rsidR="00FB18FA" w:rsidRPr="00EF10F1" w:rsidRDefault="00FB18FA" w:rsidP="00B436CA">
            <w:pPr>
              <w:jc w:val="center"/>
              <w:rPr>
                <w:rFonts w:ascii="Arial" w:hAnsi="Arial" w:cs="Arial"/>
                <w:sz w:val="16"/>
                <w:szCs w:val="18"/>
              </w:rPr>
            </w:pP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De la eliminación de una Norma Interna o cancelación de un Documento no normativo</w:t>
            </w:r>
            <w:r w:rsidRPr="00EF10F1">
              <w:rPr>
                <w:rFonts w:ascii="Soberana Sans" w:hAnsi="Soberana Sans" w:cs="Times New Roman"/>
                <w:sz w:val="16"/>
                <w:szCs w:val="18"/>
              </w:rPr>
              <w:t xml:space="preserve"> </w:t>
            </w:r>
          </w:p>
        </w:tc>
        <w:tc>
          <w:tcPr>
            <w:tcW w:w="4898" w:type="dxa"/>
            <w:vAlign w:val="center"/>
          </w:tcPr>
          <w:p w:rsidR="00FB18FA" w:rsidRPr="00EF10F1" w:rsidRDefault="00FB18FA" w:rsidP="00B436CA">
            <w:pPr>
              <w:jc w:val="both"/>
              <w:rPr>
                <w:sz w:val="16"/>
                <w:szCs w:val="18"/>
              </w:rPr>
            </w:pPr>
            <w:r w:rsidRPr="00EF10F1">
              <w:rPr>
                <w:sz w:val="16"/>
                <w:szCs w:val="18"/>
              </w:rPr>
              <w:t>-Se utiliza la abreviatura NI; sin embargo, se sugiere indicarla en el apartado de “Definiciones”.</w:t>
            </w:r>
          </w:p>
        </w:tc>
        <w:tc>
          <w:tcPr>
            <w:tcW w:w="4854" w:type="dxa"/>
          </w:tcPr>
          <w:p w:rsidR="00EF10F1" w:rsidRDefault="00EF10F1" w:rsidP="00B376A4">
            <w:pPr>
              <w:jc w:val="both"/>
              <w:rPr>
                <w:sz w:val="16"/>
                <w:szCs w:val="18"/>
              </w:rPr>
            </w:pPr>
          </w:p>
          <w:p w:rsidR="00FB18FA" w:rsidRPr="00EF10F1" w:rsidRDefault="00EF10F1" w:rsidP="00B376A4">
            <w:pPr>
              <w:jc w:val="both"/>
              <w:rPr>
                <w:sz w:val="16"/>
                <w:szCs w:val="18"/>
              </w:rPr>
            </w:pPr>
            <w:r>
              <w:rPr>
                <w:sz w:val="16"/>
                <w:szCs w:val="18"/>
              </w:rPr>
              <w:t>-</w:t>
            </w:r>
            <w:r w:rsidR="003E1DCF" w:rsidRPr="00EF10F1">
              <w:rPr>
                <w:sz w:val="16"/>
                <w:szCs w:val="18"/>
              </w:rPr>
              <w:t xml:space="preserve"> Atendido, se quitó la abreviatura. </w:t>
            </w:r>
          </w:p>
          <w:p w:rsidR="008666D3" w:rsidRPr="00EF10F1" w:rsidRDefault="008666D3" w:rsidP="00B376A4">
            <w:pPr>
              <w:jc w:val="both"/>
              <w:rPr>
                <w:sz w:val="16"/>
                <w:szCs w:val="18"/>
              </w:rPr>
            </w:pPr>
          </w:p>
          <w:p w:rsidR="008666D3" w:rsidRPr="00EF10F1" w:rsidRDefault="008666D3" w:rsidP="00B376A4">
            <w:pPr>
              <w:jc w:val="both"/>
              <w:rPr>
                <w:sz w:val="16"/>
                <w:szCs w:val="18"/>
              </w:rPr>
            </w:pPr>
            <w:r w:rsidRPr="00EF10F1">
              <w:rPr>
                <w:sz w:val="16"/>
                <w:szCs w:val="18"/>
              </w:rPr>
              <w:t>Se cambió el nombre a “cancelación de registro” y se modificó el lineamiento 6.5. para señalar que una norma externa deberá ser cancelada del inventario de normas internas,</w:t>
            </w:r>
          </w:p>
        </w:tc>
      </w:tr>
      <w:tr w:rsidR="00FB18FA" w:rsidRPr="00EF10F1" w:rsidTr="002764E3">
        <w:trPr>
          <w:trHeight w:val="691"/>
        </w:trPr>
        <w:tc>
          <w:tcPr>
            <w:tcW w:w="567" w:type="dxa"/>
            <w:vAlign w:val="center"/>
          </w:tcPr>
          <w:p w:rsidR="00FB18FA" w:rsidRPr="00EF10F1" w:rsidRDefault="00FB18FA" w:rsidP="00B436CA">
            <w:pPr>
              <w:jc w:val="center"/>
              <w:rPr>
                <w:rFonts w:ascii="Arial" w:hAnsi="Arial" w:cs="Arial"/>
                <w:sz w:val="16"/>
                <w:szCs w:val="18"/>
              </w:rPr>
            </w:pP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De la actualización y/o mejora de una Norma Interna</w:t>
            </w:r>
            <w:r w:rsidRPr="00EF10F1">
              <w:rPr>
                <w:rFonts w:ascii="Soberana Sans" w:hAnsi="Soberana Sans" w:cs="Times New Roman"/>
                <w:sz w:val="16"/>
                <w:szCs w:val="18"/>
              </w:rPr>
              <w:t xml:space="preserve"> </w:t>
            </w:r>
          </w:p>
        </w:tc>
        <w:tc>
          <w:tcPr>
            <w:tcW w:w="4898" w:type="dxa"/>
            <w:vAlign w:val="center"/>
          </w:tcPr>
          <w:p w:rsidR="00FB18FA" w:rsidRPr="00EF10F1" w:rsidRDefault="00FB18FA" w:rsidP="00B436CA">
            <w:pPr>
              <w:jc w:val="both"/>
              <w:rPr>
                <w:sz w:val="16"/>
                <w:szCs w:val="18"/>
              </w:rPr>
            </w:pPr>
            <w:r w:rsidRPr="00EF10F1">
              <w:rPr>
                <w:sz w:val="16"/>
                <w:szCs w:val="18"/>
              </w:rPr>
              <w:t>-Se señalan los incisos c) y d); sin embargo, se sugiere incorporarlos en los incisos a) o b) o, en su caso, adicionarlos en el formato LEPANI-F01.</w:t>
            </w:r>
          </w:p>
        </w:tc>
        <w:tc>
          <w:tcPr>
            <w:tcW w:w="4854" w:type="dxa"/>
          </w:tcPr>
          <w:p w:rsidR="00FB18FA" w:rsidRPr="00EF10F1" w:rsidRDefault="008666D3" w:rsidP="00B376A4">
            <w:pPr>
              <w:jc w:val="both"/>
              <w:rPr>
                <w:sz w:val="16"/>
                <w:szCs w:val="18"/>
              </w:rPr>
            </w:pPr>
            <w:r w:rsidRPr="00EF10F1">
              <w:rPr>
                <w:sz w:val="16"/>
                <w:szCs w:val="18"/>
              </w:rPr>
              <w:t>-Se dejaron los criterios de modificación que establece la Secretaría de la Función Pública en el Sistema de Administración de Normas Internas de la APF, y se adecuo el formato con los tres tipos de modificaciones.</w:t>
            </w:r>
          </w:p>
        </w:tc>
      </w:tr>
      <w:tr w:rsidR="00FB18FA" w:rsidRPr="00EF10F1" w:rsidTr="002764E3">
        <w:trPr>
          <w:trHeight w:val="691"/>
        </w:trPr>
        <w:tc>
          <w:tcPr>
            <w:tcW w:w="567" w:type="dxa"/>
            <w:vAlign w:val="center"/>
          </w:tcPr>
          <w:p w:rsidR="00FB18FA" w:rsidRPr="00EF10F1" w:rsidRDefault="00FB18FA" w:rsidP="00B436CA">
            <w:pPr>
              <w:jc w:val="center"/>
              <w:rPr>
                <w:rFonts w:ascii="Arial" w:hAnsi="Arial" w:cs="Arial"/>
                <w:sz w:val="16"/>
                <w:szCs w:val="18"/>
              </w:rPr>
            </w:pP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De la gestión ante la Secretaría de la Función Pública</w:t>
            </w:r>
          </w:p>
          <w:p w:rsidR="00FB18FA" w:rsidRPr="00EF10F1" w:rsidRDefault="00FB18FA" w:rsidP="00B436CA">
            <w:pPr>
              <w:pStyle w:val="Default"/>
              <w:rPr>
                <w:rFonts w:ascii="Soberana Sans" w:hAnsi="Soberana Sans"/>
                <w:b/>
                <w:bCs/>
                <w:sz w:val="16"/>
                <w:szCs w:val="18"/>
              </w:rPr>
            </w:pPr>
          </w:p>
        </w:tc>
        <w:tc>
          <w:tcPr>
            <w:tcW w:w="4898" w:type="dxa"/>
            <w:vAlign w:val="center"/>
          </w:tcPr>
          <w:p w:rsidR="00FB18FA" w:rsidRPr="00EF10F1" w:rsidRDefault="00FB18FA" w:rsidP="00B436CA">
            <w:pPr>
              <w:jc w:val="both"/>
              <w:rPr>
                <w:sz w:val="16"/>
                <w:szCs w:val="18"/>
              </w:rPr>
            </w:pPr>
            <w:r w:rsidRPr="00EF10F1">
              <w:rPr>
                <w:sz w:val="16"/>
                <w:szCs w:val="18"/>
              </w:rPr>
              <w:t>-Señalar los plazos que tiene la DGPOP para remitir la solicitud a la SFP.</w:t>
            </w:r>
          </w:p>
          <w:p w:rsidR="00FB18FA" w:rsidRPr="00EF10F1" w:rsidRDefault="00FB18FA" w:rsidP="00B436CA">
            <w:pPr>
              <w:jc w:val="both"/>
              <w:rPr>
                <w:sz w:val="16"/>
                <w:szCs w:val="18"/>
              </w:rPr>
            </w:pPr>
            <w:r w:rsidRPr="00EF10F1">
              <w:rPr>
                <w:sz w:val="16"/>
                <w:szCs w:val="18"/>
              </w:rPr>
              <w:t>-Precisar en qué etapa se llevará a cabo la actividad, toda vez que se menciona “</w:t>
            </w:r>
            <w:r w:rsidRPr="00EF10F1">
              <w:rPr>
                <w:i/>
                <w:sz w:val="16"/>
                <w:szCs w:val="18"/>
              </w:rPr>
              <w:t>la DGPOP deberá remitir el proyecto de norma interna a la Secretaría de la Función Pública”.</w:t>
            </w:r>
          </w:p>
        </w:tc>
        <w:tc>
          <w:tcPr>
            <w:tcW w:w="4854" w:type="dxa"/>
          </w:tcPr>
          <w:p w:rsidR="002758D0" w:rsidRPr="00EF10F1" w:rsidRDefault="002758D0" w:rsidP="00B376A4">
            <w:pPr>
              <w:jc w:val="both"/>
              <w:rPr>
                <w:sz w:val="16"/>
                <w:szCs w:val="18"/>
              </w:rPr>
            </w:pPr>
            <w:r w:rsidRPr="00EF10F1">
              <w:rPr>
                <w:sz w:val="16"/>
                <w:szCs w:val="18"/>
              </w:rPr>
              <w:t xml:space="preserve">- Es variable </w:t>
            </w:r>
          </w:p>
          <w:p w:rsidR="002758D0" w:rsidRPr="00EF10F1" w:rsidRDefault="002758D0" w:rsidP="00B376A4">
            <w:pPr>
              <w:jc w:val="both"/>
              <w:rPr>
                <w:sz w:val="16"/>
                <w:szCs w:val="18"/>
              </w:rPr>
            </w:pPr>
          </w:p>
          <w:p w:rsidR="00FB18FA" w:rsidRPr="00EF10F1" w:rsidRDefault="002758D0" w:rsidP="00B376A4">
            <w:pPr>
              <w:jc w:val="both"/>
              <w:rPr>
                <w:sz w:val="16"/>
                <w:szCs w:val="18"/>
              </w:rPr>
            </w:pPr>
            <w:r w:rsidRPr="00EF10F1">
              <w:rPr>
                <w:sz w:val="16"/>
                <w:szCs w:val="18"/>
              </w:rPr>
              <w:t xml:space="preserve">- Se indica que antes de iniciar el proceso </w:t>
            </w:r>
            <w:r w:rsidR="00F752F1" w:rsidRPr="00EF10F1">
              <w:rPr>
                <w:sz w:val="16"/>
                <w:szCs w:val="18"/>
              </w:rPr>
              <w:t xml:space="preserve">de MRI </w:t>
            </w:r>
            <w:r w:rsidRPr="00EF10F1">
              <w:rPr>
                <w:sz w:val="16"/>
                <w:szCs w:val="18"/>
              </w:rPr>
              <w:t>la DGPOP enviará la Norma Interna Administrativa a revisión</w:t>
            </w:r>
            <w:r w:rsidR="00F752F1" w:rsidRPr="00EF10F1">
              <w:rPr>
                <w:sz w:val="16"/>
                <w:szCs w:val="18"/>
              </w:rPr>
              <w:t xml:space="preserve"> de la SFP</w:t>
            </w:r>
            <w:r w:rsidRPr="00EF10F1">
              <w:rPr>
                <w:sz w:val="16"/>
                <w:szCs w:val="18"/>
              </w:rPr>
              <w:t xml:space="preserve">. </w:t>
            </w:r>
          </w:p>
        </w:tc>
      </w:tr>
      <w:tr w:rsidR="00FB18FA" w:rsidRPr="00EF10F1" w:rsidTr="002764E3">
        <w:trPr>
          <w:trHeight w:val="691"/>
        </w:trPr>
        <w:tc>
          <w:tcPr>
            <w:tcW w:w="567" w:type="dxa"/>
            <w:vAlign w:val="center"/>
          </w:tcPr>
          <w:p w:rsidR="00FB18FA" w:rsidRPr="00EF10F1" w:rsidRDefault="00FB18FA" w:rsidP="00B436CA">
            <w:pPr>
              <w:jc w:val="center"/>
              <w:rPr>
                <w:rFonts w:ascii="Arial" w:hAnsi="Arial" w:cs="Arial"/>
                <w:sz w:val="16"/>
                <w:szCs w:val="18"/>
              </w:rPr>
            </w:pPr>
          </w:p>
        </w:tc>
        <w:tc>
          <w:tcPr>
            <w:tcW w:w="3544" w:type="dxa"/>
            <w:vAlign w:val="center"/>
          </w:tcPr>
          <w:p w:rsidR="00FB18FA" w:rsidRPr="00EF10F1" w:rsidRDefault="00FB18FA" w:rsidP="00B436CA">
            <w:pPr>
              <w:pStyle w:val="Default"/>
              <w:rPr>
                <w:rFonts w:ascii="Soberana Sans" w:hAnsi="Soberana Sans"/>
                <w:b/>
                <w:bCs/>
                <w:sz w:val="16"/>
                <w:szCs w:val="18"/>
              </w:rPr>
            </w:pPr>
            <w:r w:rsidRPr="00EF10F1">
              <w:rPr>
                <w:rFonts w:ascii="Soberana Sans" w:hAnsi="Soberana Sans"/>
                <w:b/>
                <w:bCs/>
                <w:sz w:val="16"/>
                <w:szCs w:val="18"/>
              </w:rPr>
              <w:t>7. Vigilancia</w:t>
            </w:r>
          </w:p>
        </w:tc>
        <w:tc>
          <w:tcPr>
            <w:tcW w:w="4898" w:type="dxa"/>
            <w:vAlign w:val="center"/>
          </w:tcPr>
          <w:p w:rsidR="00FB18FA" w:rsidRPr="00EF10F1" w:rsidRDefault="00FB18FA" w:rsidP="00B436CA">
            <w:pPr>
              <w:jc w:val="both"/>
              <w:rPr>
                <w:sz w:val="16"/>
                <w:szCs w:val="18"/>
              </w:rPr>
            </w:pPr>
            <w:r w:rsidRPr="00EF10F1">
              <w:rPr>
                <w:sz w:val="16"/>
                <w:szCs w:val="18"/>
              </w:rPr>
              <w:t>-La vigilancia del cumplimiento del PTRNI es responsabilidad de la DGPOP, sin embargo, cuando se presente algún incumplimiento éste deberá informar al OIC para determinar las responsabilidades administrativas correspondientes.</w:t>
            </w:r>
          </w:p>
          <w:p w:rsidR="00FB18FA" w:rsidRPr="00EF10F1" w:rsidRDefault="00FB18FA" w:rsidP="00B436CA">
            <w:pPr>
              <w:jc w:val="both"/>
              <w:rPr>
                <w:sz w:val="16"/>
                <w:szCs w:val="18"/>
              </w:rPr>
            </w:pPr>
            <w:r w:rsidRPr="00EF10F1">
              <w:rPr>
                <w:sz w:val="16"/>
                <w:szCs w:val="18"/>
              </w:rPr>
              <w:t>-El contenido de este apartado debe señalar la vigilancia sobre la implementación de los presentes Lineamientos.</w:t>
            </w:r>
          </w:p>
        </w:tc>
        <w:tc>
          <w:tcPr>
            <w:tcW w:w="4854" w:type="dxa"/>
          </w:tcPr>
          <w:p w:rsidR="00FB18FA" w:rsidRPr="00EF10F1" w:rsidRDefault="007672E8" w:rsidP="00B376A4">
            <w:pPr>
              <w:jc w:val="both"/>
              <w:rPr>
                <w:sz w:val="16"/>
                <w:szCs w:val="18"/>
              </w:rPr>
            </w:pPr>
            <w:r w:rsidRPr="00EF10F1">
              <w:rPr>
                <w:sz w:val="16"/>
                <w:szCs w:val="18"/>
              </w:rPr>
              <w:t xml:space="preserve">- La responsabilidad es de las Unidades Administrativas participantes, pero la vigilancia es atribución del OIC.  </w:t>
            </w:r>
          </w:p>
        </w:tc>
      </w:tr>
      <w:tr w:rsidR="00A35712" w:rsidRPr="00EF10F1" w:rsidTr="002764E3">
        <w:trPr>
          <w:trHeight w:val="691"/>
        </w:trPr>
        <w:tc>
          <w:tcPr>
            <w:tcW w:w="567" w:type="dxa"/>
            <w:vAlign w:val="center"/>
          </w:tcPr>
          <w:p w:rsidR="00A35712" w:rsidRPr="00EF10F1" w:rsidRDefault="00A35712" w:rsidP="00B436CA">
            <w:pPr>
              <w:jc w:val="center"/>
              <w:rPr>
                <w:rFonts w:ascii="Arial" w:hAnsi="Arial" w:cs="Arial"/>
                <w:sz w:val="16"/>
                <w:szCs w:val="18"/>
              </w:rPr>
            </w:pPr>
          </w:p>
        </w:tc>
        <w:tc>
          <w:tcPr>
            <w:tcW w:w="3544" w:type="dxa"/>
            <w:vAlign w:val="center"/>
          </w:tcPr>
          <w:p w:rsidR="00A35712" w:rsidRPr="00EF10F1" w:rsidRDefault="00A35712" w:rsidP="00B436CA">
            <w:pPr>
              <w:pStyle w:val="Default"/>
              <w:rPr>
                <w:rFonts w:ascii="Soberana Sans" w:hAnsi="Soberana Sans"/>
                <w:b/>
                <w:bCs/>
                <w:sz w:val="16"/>
                <w:szCs w:val="18"/>
              </w:rPr>
            </w:pPr>
          </w:p>
        </w:tc>
        <w:tc>
          <w:tcPr>
            <w:tcW w:w="4898" w:type="dxa"/>
            <w:vAlign w:val="center"/>
          </w:tcPr>
          <w:p w:rsidR="00A35712" w:rsidRPr="00EF10F1" w:rsidRDefault="00A35712" w:rsidP="00B436CA">
            <w:pPr>
              <w:jc w:val="both"/>
              <w:rPr>
                <w:sz w:val="16"/>
                <w:szCs w:val="18"/>
              </w:rPr>
            </w:pPr>
            <w:r w:rsidRPr="00EF10F1">
              <w:rPr>
                <w:rFonts w:ascii="Arial" w:hAnsi="Arial" w:cs="Arial"/>
                <w:sz w:val="16"/>
                <w:szCs w:val="18"/>
              </w:rPr>
              <w:t>Por otra parte, enfatizar en el documento que será responsabilidad de las UAE mantener actualizadas las normas internas administrativas y sustantivas en la normateca interna de la SCT, por lo que se consideraran invalidas aquellas que no fueran informadas en los plazos establecidos en el PTRNI, por lo que se dará vista al OIC para determinar lo conducente.</w:t>
            </w:r>
          </w:p>
        </w:tc>
        <w:tc>
          <w:tcPr>
            <w:tcW w:w="4854" w:type="dxa"/>
          </w:tcPr>
          <w:p w:rsidR="00A35712" w:rsidRPr="00EF10F1" w:rsidRDefault="00A35712" w:rsidP="00B376A4">
            <w:pPr>
              <w:jc w:val="both"/>
              <w:rPr>
                <w:rFonts w:ascii="Arial" w:hAnsi="Arial" w:cs="Arial"/>
                <w:sz w:val="16"/>
                <w:szCs w:val="18"/>
              </w:rPr>
            </w:pPr>
            <w:r w:rsidRPr="00EF10F1">
              <w:rPr>
                <w:rFonts w:ascii="Arial" w:hAnsi="Arial" w:cs="Arial"/>
                <w:sz w:val="16"/>
                <w:szCs w:val="18"/>
              </w:rPr>
              <w:t>Este ya es un Lineamiento General.</w:t>
            </w:r>
          </w:p>
          <w:p w:rsidR="00A35712" w:rsidRPr="00EF10F1" w:rsidRDefault="00A35712" w:rsidP="00B376A4">
            <w:pPr>
              <w:jc w:val="both"/>
              <w:rPr>
                <w:sz w:val="16"/>
                <w:szCs w:val="18"/>
              </w:rPr>
            </w:pPr>
          </w:p>
        </w:tc>
      </w:tr>
      <w:tr w:rsidR="00A35712" w:rsidRPr="00EF10F1" w:rsidTr="002764E3">
        <w:trPr>
          <w:trHeight w:val="743"/>
        </w:trPr>
        <w:tc>
          <w:tcPr>
            <w:tcW w:w="567" w:type="dxa"/>
            <w:vAlign w:val="center"/>
          </w:tcPr>
          <w:p w:rsidR="00A35712" w:rsidRPr="00EF10F1" w:rsidRDefault="00A35712" w:rsidP="00B436CA">
            <w:pPr>
              <w:jc w:val="center"/>
              <w:rPr>
                <w:rFonts w:ascii="Arial" w:hAnsi="Arial" w:cs="Arial"/>
                <w:sz w:val="16"/>
                <w:szCs w:val="18"/>
              </w:rPr>
            </w:pPr>
          </w:p>
        </w:tc>
        <w:tc>
          <w:tcPr>
            <w:tcW w:w="3544" w:type="dxa"/>
            <w:vAlign w:val="center"/>
          </w:tcPr>
          <w:p w:rsidR="00A35712" w:rsidRPr="00EF10F1" w:rsidRDefault="00A35712" w:rsidP="00B436CA">
            <w:pPr>
              <w:pStyle w:val="Default"/>
              <w:rPr>
                <w:rFonts w:ascii="Soberana Sans" w:hAnsi="Soberana Sans"/>
                <w:b/>
                <w:bCs/>
                <w:sz w:val="16"/>
                <w:szCs w:val="18"/>
              </w:rPr>
            </w:pPr>
          </w:p>
        </w:tc>
        <w:tc>
          <w:tcPr>
            <w:tcW w:w="4898" w:type="dxa"/>
            <w:vAlign w:val="center"/>
          </w:tcPr>
          <w:p w:rsidR="00A35712" w:rsidRPr="00EF10F1" w:rsidRDefault="00A35712" w:rsidP="00A35712">
            <w:pPr>
              <w:rPr>
                <w:rFonts w:ascii="Arial" w:hAnsi="Arial" w:cs="Arial"/>
                <w:sz w:val="16"/>
                <w:szCs w:val="17"/>
              </w:rPr>
            </w:pPr>
            <w:r w:rsidRPr="00EF10F1">
              <w:rPr>
                <w:rFonts w:ascii="Arial" w:hAnsi="Arial" w:cs="Arial"/>
                <w:sz w:val="16"/>
                <w:szCs w:val="17"/>
              </w:rPr>
              <w:t>Se sugiere valorar la factibilidad de incorporar un apartado que indique el procedimiento o plazos internos para las normas que se presentaran a la COFEMER, a fin de contar con un documento que regule la emisión de instrumentos o disposiciones normativos en la SCT.</w:t>
            </w:r>
          </w:p>
        </w:tc>
        <w:tc>
          <w:tcPr>
            <w:tcW w:w="4854" w:type="dxa"/>
          </w:tcPr>
          <w:p w:rsidR="00A35712" w:rsidRPr="00EF10F1" w:rsidRDefault="008666D3" w:rsidP="00B376A4">
            <w:pPr>
              <w:jc w:val="both"/>
              <w:rPr>
                <w:rFonts w:ascii="Arial" w:hAnsi="Arial" w:cs="Arial"/>
                <w:sz w:val="16"/>
                <w:szCs w:val="18"/>
              </w:rPr>
            </w:pPr>
            <w:r w:rsidRPr="00EF10F1">
              <w:rPr>
                <w:rFonts w:ascii="Arial" w:hAnsi="Arial" w:cs="Arial"/>
                <w:sz w:val="16"/>
                <w:szCs w:val="18"/>
              </w:rPr>
              <w:t>Se toma conocimiento y se somete a consideración de la Oficialía Mayor, quien lleva  el proceso ante la COFEMER.</w:t>
            </w:r>
          </w:p>
        </w:tc>
      </w:tr>
    </w:tbl>
    <w:p w:rsidR="001E3CC2" w:rsidRPr="00EF10F1" w:rsidRDefault="001E3CC2" w:rsidP="00EF10F1">
      <w:pPr>
        <w:rPr>
          <w:rFonts w:ascii="Arial" w:hAnsi="Arial" w:cs="Arial"/>
          <w:sz w:val="16"/>
          <w:szCs w:val="18"/>
        </w:rPr>
      </w:pPr>
    </w:p>
    <w:sectPr w:rsidR="001E3CC2" w:rsidRPr="00EF10F1" w:rsidSect="00EF10F1">
      <w:headerReference w:type="default" r:id="rId8"/>
      <w:pgSz w:w="15840" w:h="12240" w:orient="landscape"/>
      <w:pgMar w:top="1701" w:right="1417" w:bottom="1418"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FF" w:rsidRDefault="00D119FF" w:rsidP="00287039">
      <w:pPr>
        <w:spacing w:after="0" w:line="240" w:lineRule="auto"/>
      </w:pPr>
      <w:r>
        <w:separator/>
      </w:r>
    </w:p>
  </w:endnote>
  <w:endnote w:type="continuationSeparator" w:id="0">
    <w:p w:rsidR="00D119FF" w:rsidRDefault="00D119FF" w:rsidP="0028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FF" w:rsidRDefault="00D119FF" w:rsidP="00287039">
      <w:pPr>
        <w:spacing w:after="0" w:line="240" w:lineRule="auto"/>
      </w:pPr>
      <w:r>
        <w:separator/>
      </w:r>
    </w:p>
  </w:footnote>
  <w:footnote w:type="continuationSeparator" w:id="0">
    <w:p w:rsidR="00D119FF" w:rsidRDefault="00D119FF" w:rsidP="00287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8A" w:rsidRPr="00B376A4" w:rsidRDefault="00B376A4" w:rsidP="00B376A4">
    <w:pPr>
      <w:spacing w:after="0"/>
      <w:jc w:val="right"/>
      <w:rPr>
        <w:sz w:val="22"/>
      </w:rPr>
    </w:pPr>
    <w:r>
      <w:rPr>
        <w:sz w:val="22"/>
      </w:rPr>
      <w:t xml:space="preserve">ANEXO 1. </w:t>
    </w:r>
  </w:p>
  <w:tbl>
    <w:tblPr>
      <w:tblW w:w="1389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126"/>
      <w:gridCol w:w="4395"/>
      <w:gridCol w:w="3260"/>
    </w:tblGrid>
    <w:tr w:rsidR="00B376A4" w:rsidRPr="002633B7" w:rsidTr="00BC694C">
      <w:trPr>
        <w:trHeight w:val="1138"/>
      </w:trPr>
      <w:tc>
        <w:tcPr>
          <w:tcW w:w="4111" w:type="dxa"/>
          <w:tcBorders>
            <w:top w:val="nil"/>
            <w:left w:val="nil"/>
            <w:bottom w:val="nil"/>
            <w:right w:val="nil"/>
          </w:tcBorders>
        </w:tcPr>
        <w:p w:rsidR="00B376A4" w:rsidRPr="002633B7" w:rsidRDefault="00B376A4" w:rsidP="00B376A4">
          <w:pPr>
            <w:tabs>
              <w:tab w:val="left" w:pos="0"/>
            </w:tabs>
            <w:ind w:right="-35"/>
            <w:jc w:val="both"/>
            <w:rPr>
              <w:rFonts w:ascii="Arial" w:hAnsi="Arial" w:cs="Arial"/>
              <w:b/>
              <w:sz w:val="32"/>
              <w:szCs w:val="32"/>
            </w:rPr>
          </w:pPr>
          <w:r w:rsidRPr="00923A2B">
            <w:rPr>
              <w:rFonts w:ascii="Arial" w:hAnsi="Arial" w:cs="Arial"/>
              <w:b/>
              <w:noProof/>
              <w:sz w:val="32"/>
              <w:szCs w:val="32"/>
              <w:lang w:eastAsia="es-MX"/>
            </w:rPr>
            <w:drawing>
              <wp:inline distT="0" distB="0" distL="0" distR="0" wp14:anchorId="425D2E13" wp14:editId="0BBD6287">
                <wp:extent cx="2257425" cy="723900"/>
                <wp:effectExtent l="0" t="0" r="0" b="0"/>
                <wp:docPr id="11" name="Imagen 11" descr="Descripción: http://www.funcionpublica.gob.mx/web/2013/images/logoSFP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Descripción: http://www.funcionpublica.gob.mx/web/2013/images/logoSFP_hoz.png"/>
                        <pic:cNvPicPr>
                          <a:picLocks noChangeAspect="1" noChangeArrowheads="1"/>
                        </pic:cNvPicPr>
                      </pic:nvPicPr>
                      <pic:blipFill>
                        <a:blip r:embed="rId1">
                          <a:extLst>
                            <a:ext uri="{28A0092B-C50C-407E-A947-70E740481C1C}">
                              <a14:useLocalDpi xmlns:a14="http://schemas.microsoft.com/office/drawing/2010/main" val="0"/>
                            </a:ext>
                          </a:extLst>
                        </a:blip>
                        <a:srcRect r="-5057"/>
                        <a:stretch>
                          <a:fillRect/>
                        </a:stretch>
                      </pic:blipFill>
                      <pic:spPr bwMode="auto">
                        <a:xfrm>
                          <a:off x="0" y="0"/>
                          <a:ext cx="2257425" cy="723900"/>
                        </a:xfrm>
                        <a:prstGeom prst="rect">
                          <a:avLst/>
                        </a:prstGeom>
                        <a:noFill/>
                        <a:ln>
                          <a:noFill/>
                        </a:ln>
                      </pic:spPr>
                    </pic:pic>
                  </a:graphicData>
                </a:graphic>
              </wp:inline>
            </w:drawing>
          </w:r>
        </w:p>
      </w:tc>
      <w:tc>
        <w:tcPr>
          <w:tcW w:w="9781" w:type="dxa"/>
          <w:gridSpan w:val="3"/>
          <w:tcBorders>
            <w:top w:val="nil"/>
            <w:left w:val="nil"/>
            <w:bottom w:val="nil"/>
            <w:right w:val="nil"/>
          </w:tcBorders>
        </w:tcPr>
        <w:p w:rsidR="00B376A4" w:rsidRPr="0029363C" w:rsidRDefault="00B376A4" w:rsidP="00B376A4">
          <w:pPr>
            <w:pStyle w:val="Encabezado"/>
            <w:tabs>
              <w:tab w:val="clear" w:pos="4419"/>
              <w:tab w:val="center" w:pos="35"/>
              <w:tab w:val="center" w:pos="6591"/>
            </w:tabs>
            <w:ind w:left="34" w:right="-34"/>
            <w:jc w:val="center"/>
            <w:rPr>
              <w:rFonts w:ascii="Arial" w:hAnsi="Arial" w:cs="Arial"/>
              <w:b/>
              <w:sz w:val="16"/>
              <w:szCs w:val="16"/>
            </w:rPr>
          </w:pPr>
          <w:r w:rsidRPr="0029363C">
            <w:rPr>
              <w:rFonts w:ascii="Arial" w:hAnsi="Arial" w:cs="Arial"/>
              <w:b/>
              <w:sz w:val="16"/>
              <w:szCs w:val="16"/>
            </w:rPr>
            <w:t>ÓRGANO INTERNO DE CONTROL EN LA</w:t>
          </w:r>
        </w:p>
        <w:p w:rsidR="00B376A4" w:rsidRPr="0029363C" w:rsidRDefault="00B376A4" w:rsidP="00B376A4">
          <w:pPr>
            <w:pStyle w:val="Encabezado"/>
            <w:tabs>
              <w:tab w:val="clear" w:pos="4419"/>
              <w:tab w:val="center" w:pos="35"/>
              <w:tab w:val="center" w:pos="6591"/>
            </w:tabs>
            <w:ind w:left="34" w:right="-34"/>
            <w:jc w:val="center"/>
            <w:rPr>
              <w:rFonts w:ascii="Arial" w:hAnsi="Arial" w:cs="Arial"/>
              <w:b/>
              <w:sz w:val="16"/>
              <w:szCs w:val="16"/>
            </w:rPr>
          </w:pPr>
          <w:r w:rsidRPr="0029363C">
            <w:rPr>
              <w:rFonts w:ascii="Arial" w:hAnsi="Arial" w:cs="Arial"/>
              <w:b/>
              <w:sz w:val="16"/>
              <w:szCs w:val="16"/>
            </w:rPr>
            <w:t>SECRETARÍA DE COMUNICACIONES Y TRANSPORTES</w:t>
          </w:r>
        </w:p>
        <w:p w:rsidR="00B376A4" w:rsidRPr="0029363C" w:rsidRDefault="00B376A4" w:rsidP="00B376A4">
          <w:pPr>
            <w:pStyle w:val="Encabezado"/>
            <w:tabs>
              <w:tab w:val="clear" w:pos="4419"/>
              <w:tab w:val="center" w:pos="35"/>
            </w:tabs>
            <w:ind w:left="34" w:right="-34"/>
            <w:jc w:val="center"/>
            <w:rPr>
              <w:rFonts w:ascii="Arial" w:hAnsi="Arial" w:cs="Arial"/>
              <w:b/>
              <w:sz w:val="16"/>
              <w:szCs w:val="16"/>
            </w:rPr>
          </w:pPr>
          <w:r w:rsidRPr="0029363C">
            <w:rPr>
              <w:rFonts w:ascii="Arial" w:hAnsi="Arial" w:cs="Arial"/>
              <w:b/>
              <w:sz w:val="16"/>
              <w:szCs w:val="16"/>
            </w:rPr>
            <w:t>ÁREA DE AUDITORÍA PARA DESARROLLO Y MEJORA DE LA GESTIÓN PÚBLICA</w:t>
          </w:r>
        </w:p>
        <w:p w:rsidR="00B376A4" w:rsidRDefault="00B376A4" w:rsidP="00B376A4">
          <w:pPr>
            <w:pStyle w:val="Encabezado"/>
            <w:tabs>
              <w:tab w:val="clear" w:pos="4419"/>
              <w:tab w:val="center" w:pos="35"/>
            </w:tabs>
            <w:ind w:left="34" w:right="-34"/>
            <w:jc w:val="right"/>
            <w:rPr>
              <w:rFonts w:ascii="Arial" w:hAnsi="Arial" w:cs="Arial"/>
              <w:sz w:val="16"/>
              <w:szCs w:val="16"/>
            </w:rPr>
          </w:pPr>
        </w:p>
        <w:p w:rsidR="00B376A4" w:rsidRPr="002633B7" w:rsidRDefault="00B376A4" w:rsidP="00B376A4">
          <w:pPr>
            <w:pStyle w:val="Encabezado"/>
            <w:tabs>
              <w:tab w:val="clear" w:pos="4419"/>
              <w:tab w:val="center" w:pos="35"/>
            </w:tabs>
            <w:ind w:left="34" w:right="-34"/>
            <w:jc w:val="right"/>
            <w:rPr>
              <w:rFonts w:ascii="Arial" w:hAnsi="Arial" w:cs="Arial"/>
              <w:sz w:val="16"/>
              <w:szCs w:val="16"/>
            </w:rPr>
          </w:pPr>
          <w:r w:rsidRPr="002633B7">
            <w:rPr>
              <w:rFonts w:ascii="Arial" w:hAnsi="Arial" w:cs="Arial"/>
              <w:sz w:val="16"/>
              <w:szCs w:val="16"/>
            </w:rPr>
            <w:t xml:space="preserve">Fecha: </w:t>
          </w:r>
          <w:r>
            <w:rPr>
              <w:rFonts w:ascii="Arial" w:hAnsi="Arial" w:cs="Arial"/>
              <w:sz w:val="16"/>
              <w:szCs w:val="16"/>
            </w:rPr>
            <w:t>9/03/2017</w:t>
          </w:r>
        </w:p>
      </w:tc>
    </w:tr>
    <w:tr w:rsidR="00B376A4" w:rsidTr="00BC694C">
      <w:tblPrEx>
        <w:tblLook w:val="01E0" w:firstRow="1" w:lastRow="1" w:firstColumn="1" w:lastColumn="1" w:noHBand="0" w:noVBand="0"/>
      </w:tblPrEx>
      <w:trPr>
        <w:trHeight w:val="340"/>
      </w:trPr>
      <w:tc>
        <w:tcPr>
          <w:tcW w:w="4111" w:type="dxa"/>
          <w:tcBorders>
            <w:top w:val="single" w:sz="4" w:space="0" w:color="auto"/>
            <w:left w:val="single" w:sz="4" w:space="0" w:color="auto"/>
            <w:bottom w:val="single" w:sz="4" w:space="0" w:color="auto"/>
            <w:right w:val="single" w:sz="4" w:space="0" w:color="auto"/>
          </w:tcBorders>
          <w:vAlign w:val="center"/>
          <w:hideMark/>
        </w:tcPr>
        <w:p w:rsidR="00B376A4" w:rsidRPr="00A66CC9" w:rsidRDefault="00B376A4" w:rsidP="00B376A4">
          <w:pPr>
            <w:spacing w:after="0"/>
            <w:ind w:right="-35"/>
            <w:rPr>
              <w:rFonts w:ascii="Arial" w:hAnsi="Arial" w:cs="Arial"/>
              <w:sz w:val="16"/>
              <w:szCs w:val="16"/>
              <w:lang w:val="es-ES_tradnl"/>
            </w:rPr>
          </w:pPr>
          <w:r>
            <w:rPr>
              <w:rFonts w:ascii="Arial" w:hAnsi="Arial" w:cs="Arial"/>
              <w:b/>
              <w:sz w:val="16"/>
              <w:szCs w:val="16"/>
            </w:rPr>
            <w:t xml:space="preserve">Tema: </w:t>
          </w:r>
          <w:r>
            <w:rPr>
              <w:rFonts w:ascii="Arial" w:hAnsi="Arial" w:cs="Arial"/>
              <w:sz w:val="16"/>
              <w:szCs w:val="16"/>
            </w:rPr>
            <w:t>Mejora regulatoria</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B376A4" w:rsidRPr="00B436CA" w:rsidRDefault="00B376A4" w:rsidP="00B376A4">
          <w:pPr>
            <w:spacing w:after="0"/>
            <w:ind w:right="-35"/>
            <w:jc w:val="both"/>
            <w:rPr>
              <w:rFonts w:ascii="Arial" w:hAnsi="Arial" w:cs="Arial"/>
              <w:sz w:val="16"/>
              <w:szCs w:val="16"/>
            </w:rPr>
          </w:pPr>
          <w:r>
            <w:rPr>
              <w:rFonts w:ascii="Arial" w:hAnsi="Arial" w:cs="Arial"/>
              <w:b/>
              <w:sz w:val="16"/>
              <w:szCs w:val="16"/>
            </w:rPr>
            <w:t>Actividad:</w:t>
          </w:r>
          <w:r w:rsidRPr="00E8485B">
            <w:rPr>
              <w:rFonts w:ascii="Arial" w:hAnsi="Arial" w:cs="Arial"/>
              <w:b/>
              <w:sz w:val="16"/>
              <w:szCs w:val="16"/>
            </w:rPr>
            <w:t xml:space="preserve"> </w:t>
          </w:r>
          <w:r w:rsidRPr="00B436CA">
            <w:rPr>
              <w:rFonts w:ascii="Arial" w:hAnsi="Arial" w:cs="Arial"/>
              <w:sz w:val="16"/>
              <w:szCs w:val="16"/>
            </w:rPr>
            <w:t>3.1.1.1 Promoción de estrategias de mejora que contribuyen al cumplimiento de objetivos y metas institucionales y al fortalecimiento de mecanismos eficaces de control interno</w:t>
          </w:r>
          <w:r w:rsidRPr="00B436CA">
            <w:rPr>
              <w:rFonts w:ascii="Arial" w:hAnsi="Arial" w:cs="Arial"/>
              <w:b/>
              <w:sz w:val="16"/>
              <w:szCs w:val="16"/>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B376A4" w:rsidRDefault="00B376A4" w:rsidP="00B376A4">
          <w:pPr>
            <w:spacing w:after="0"/>
            <w:ind w:right="-35"/>
            <w:jc w:val="both"/>
            <w:rPr>
              <w:rFonts w:ascii="Arial" w:hAnsi="Arial" w:cs="Arial"/>
              <w:sz w:val="16"/>
              <w:szCs w:val="16"/>
              <w:lang w:val="es-ES_tradnl"/>
            </w:rPr>
          </w:pPr>
          <w:r w:rsidRPr="0071052B">
            <w:rPr>
              <w:rFonts w:ascii="Arial" w:hAnsi="Arial" w:cs="Arial"/>
              <w:b/>
              <w:sz w:val="16"/>
              <w:szCs w:val="16"/>
            </w:rPr>
            <w:t>Periodo de ejecución:</w:t>
          </w:r>
          <w:r>
            <w:rPr>
              <w:rFonts w:ascii="Arial" w:hAnsi="Arial" w:cs="Arial"/>
              <w:sz w:val="16"/>
              <w:szCs w:val="16"/>
            </w:rPr>
            <w:t xml:space="preserve"> </w:t>
          </w:r>
          <w:r>
            <w:rPr>
              <w:rFonts w:ascii="Arial" w:hAnsi="Arial" w:cs="Arial"/>
              <w:i/>
              <w:sz w:val="16"/>
              <w:szCs w:val="16"/>
            </w:rPr>
            <w:t>Primer trimestre 2017</w:t>
          </w:r>
        </w:p>
      </w:tc>
    </w:tr>
    <w:tr w:rsidR="00B376A4" w:rsidTr="00BC694C">
      <w:tblPrEx>
        <w:tblLook w:val="01E0" w:firstRow="1" w:lastRow="1" w:firstColumn="1" w:lastColumn="1" w:noHBand="0" w:noVBand="0"/>
      </w:tblPrEx>
      <w:trPr>
        <w:trHeight w:val="340"/>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B376A4" w:rsidRPr="000737A3" w:rsidRDefault="00B376A4" w:rsidP="00B376A4">
          <w:pPr>
            <w:spacing w:after="0"/>
            <w:ind w:right="-35"/>
            <w:jc w:val="both"/>
            <w:rPr>
              <w:rFonts w:ascii="Arial" w:hAnsi="Arial" w:cs="Arial"/>
              <w:sz w:val="16"/>
              <w:szCs w:val="16"/>
              <w:lang w:val="es-ES_tradnl"/>
            </w:rPr>
          </w:pPr>
          <w:r>
            <w:rPr>
              <w:rFonts w:ascii="Arial" w:hAnsi="Arial" w:cs="Arial"/>
              <w:b/>
              <w:sz w:val="16"/>
              <w:szCs w:val="16"/>
            </w:rPr>
            <w:t>Nombre de la acción</w:t>
          </w:r>
          <w:r w:rsidRPr="0071052B">
            <w:rPr>
              <w:rFonts w:ascii="Arial" w:hAnsi="Arial" w:cs="Arial"/>
              <w:b/>
              <w:sz w:val="16"/>
              <w:szCs w:val="16"/>
            </w:rPr>
            <w:t>:</w:t>
          </w:r>
          <w:r>
            <w:rPr>
              <w:rFonts w:ascii="Arial" w:hAnsi="Arial" w:cs="Arial"/>
              <w:b/>
              <w:sz w:val="16"/>
              <w:szCs w:val="16"/>
            </w:rPr>
            <w:t xml:space="preserve"> </w:t>
          </w:r>
          <w:r w:rsidRPr="00B436CA">
            <w:rPr>
              <w:rFonts w:ascii="Arial" w:hAnsi="Arial" w:cs="Arial"/>
              <w:b/>
              <w:sz w:val="16"/>
              <w:szCs w:val="16"/>
            </w:rPr>
            <w:t>Participar en el proceso de mejora regulatoria de la dependencia y mantener actualizado el SANI-APF, emitiendo las re</w:t>
          </w:r>
          <w:r>
            <w:rPr>
              <w:rFonts w:ascii="Arial" w:hAnsi="Arial" w:cs="Arial"/>
              <w:b/>
              <w:sz w:val="16"/>
              <w:szCs w:val="16"/>
            </w:rPr>
            <w:t>comendaciones correspondientes (…)</w:t>
          </w:r>
          <w:r w:rsidRPr="00B436CA">
            <w:rPr>
              <w:rFonts w:ascii="Arial" w:hAnsi="Arial" w:cs="Arial"/>
              <w:b/>
              <w:sz w:val="16"/>
              <w:szCs w:val="16"/>
            </w:rPr>
            <w:t>.</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B376A4" w:rsidRDefault="00B376A4" w:rsidP="00B376A4">
          <w:pPr>
            <w:spacing w:after="0"/>
            <w:ind w:right="-35"/>
            <w:rPr>
              <w:rFonts w:ascii="Arial" w:hAnsi="Arial" w:cs="Arial"/>
              <w:sz w:val="16"/>
              <w:szCs w:val="16"/>
              <w:lang w:val="es-ES_tradnl"/>
            </w:rPr>
          </w:pPr>
          <w:r w:rsidRPr="0071052B">
            <w:rPr>
              <w:rFonts w:ascii="Arial" w:hAnsi="Arial" w:cs="Arial"/>
              <w:b/>
              <w:sz w:val="16"/>
              <w:szCs w:val="16"/>
            </w:rPr>
            <w:t>Unidad Administrativa:</w:t>
          </w:r>
          <w:r>
            <w:rPr>
              <w:rFonts w:ascii="Arial" w:hAnsi="Arial" w:cs="Arial"/>
              <w:sz w:val="16"/>
              <w:szCs w:val="16"/>
            </w:rPr>
            <w:t xml:space="preserve"> </w:t>
          </w:r>
          <w:r w:rsidRPr="00A66CC9">
            <w:rPr>
              <w:rFonts w:ascii="Arial" w:hAnsi="Arial" w:cs="Arial"/>
              <w:sz w:val="16"/>
              <w:szCs w:val="16"/>
            </w:rPr>
            <w:t>Dirección General de Programación, Organización y Presupuesto</w:t>
          </w:r>
          <w:r>
            <w:rPr>
              <w:rFonts w:ascii="Arial" w:hAnsi="Arial" w:cs="Arial"/>
              <w:sz w:val="16"/>
              <w:szCs w:val="16"/>
            </w:rPr>
            <w:t>.</w:t>
          </w:r>
        </w:p>
      </w:tc>
    </w:tr>
    <w:tr w:rsidR="00B376A4" w:rsidTr="00BC694C">
      <w:tblPrEx>
        <w:tblLook w:val="01E0" w:firstRow="1" w:lastRow="1" w:firstColumn="1" w:lastColumn="1" w:noHBand="0" w:noVBand="0"/>
      </w:tblPrEx>
      <w:trPr>
        <w:trHeight w:val="340"/>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B376A4" w:rsidRDefault="00B376A4" w:rsidP="00B376A4">
          <w:pPr>
            <w:spacing w:after="0"/>
            <w:ind w:right="-35"/>
            <w:jc w:val="both"/>
            <w:rPr>
              <w:rFonts w:ascii="Arial" w:hAnsi="Arial" w:cs="Arial"/>
              <w:sz w:val="16"/>
              <w:szCs w:val="16"/>
              <w:lang w:val="es-ES_tradnl"/>
            </w:rPr>
          </w:pPr>
          <w:r w:rsidRPr="0071052B">
            <w:rPr>
              <w:rFonts w:ascii="Arial" w:hAnsi="Arial" w:cs="Arial"/>
              <w:b/>
              <w:sz w:val="16"/>
              <w:szCs w:val="16"/>
            </w:rPr>
            <w:t>Realizó:</w:t>
          </w:r>
          <w:r>
            <w:rPr>
              <w:rFonts w:ascii="Arial" w:hAnsi="Arial" w:cs="Arial"/>
              <w:sz w:val="16"/>
              <w:szCs w:val="16"/>
            </w:rPr>
            <w:t xml:space="preserve"> MFC</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B376A4" w:rsidRPr="00D93E90" w:rsidRDefault="00B376A4" w:rsidP="00B376A4">
          <w:pPr>
            <w:spacing w:after="0"/>
            <w:ind w:right="-35"/>
            <w:rPr>
              <w:rFonts w:ascii="Arial" w:hAnsi="Arial" w:cs="Arial"/>
              <w:sz w:val="16"/>
              <w:szCs w:val="16"/>
            </w:rPr>
          </w:pPr>
          <w:r w:rsidRPr="0071052B">
            <w:rPr>
              <w:rFonts w:ascii="Arial" w:hAnsi="Arial" w:cs="Arial"/>
              <w:b/>
              <w:sz w:val="16"/>
              <w:szCs w:val="16"/>
            </w:rPr>
            <w:t>Supervisó:</w:t>
          </w:r>
          <w:r>
            <w:rPr>
              <w:rFonts w:ascii="Arial" w:hAnsi="Arial" w:cs="Arial"/>
              <w:sz w:val="16"/>
              <w:szCs w:val="16"/>
            </w:rPr>
            <w:t xml:space="preserve"> ERR</w:t>
          </w:r>
        </w:p>
      </w:tc>
    </w:tr>
  </w:tbl>
  <w:tbl>
    <w:tblPr>
      <w:tblStyle w:val="Tablaconcuadrcula"/>
      <w:tblW w:w="13892" w:type="dxa"/>
      <w:tblInd w:w="-572" w:type="dxa"/>
      <w:tblLayout w:type="fixed"/>
      <w:tblLook w:val="04A0" w:firstRow="1" w:lastRow="0" w:firstColumn="1" w:lastColumn="0" w:noHBand="0" w:noVBand="1"/>
    </w:tblPr>
    <w:tblGrid>
      <w:gridCol w:w="567"/>
      <w:gridCol w:w="3544"/>
      <w:gridCol w:w="4890"/>
      <w:gridCol w:w="4891"/>
    </w:tblGrid>
    <w:tr w:rsidR="00FB18FA" w:rsidRPr="00CD578A" w:rsidTr="00E161DD">
      <w:tc>
        <w:tcPr>
          <w:tcW w:w="567" w:type="dxa"/>
        </w:tcPr>
        <w:p w:rsidR="00FB18FA" w:rsidRPr="00CD578A" w:rsidRDefault="00FB18FA" w:rsidP="008B685A">
          <w:pPr>
            <w:shd w:val="clear" w:color="auto" w:fill="FFFFFF" w:themeFill="background1"/>
            <w:jc w:val="center"/>
            <w:rPr>
              <w:rFonts w:ascii="Arial" w:hAnsi="Arial" w:cs="Arial"/>
              <w:b/>
              <w:sz w:val="20"/>
            </w:rPr>
          </w:pPr>
          <w:r>
            <w:rPr>
              <w:rFonts w:ascii="Arial" w:hAnsi="Arial" w:cs="Arial"/>
              <w:b/>
              <w:sz w:val="20"/>
            </w:rPr>
            <w:t>No.</w:t>
          </w:r>
        </w:p>
      </w:tc>
      <w:tc>
        <w:tcPr>
          <w:tcW w:w="3544" w:type="dxa"/>
          <w:shd w:val="clear" w:color="auto" w:fill="auto"/>
        </w:tcPr>
        <w:p w:rsidR="00FB18FA" w:rsidRPr="00CD578A" w:rsidRDefault="00FB18FA" w:rsidP="00C76822">
          <w:pPr>
            <w:shd w:val="clear" w:color="auto" w:fill="FFFFFF" w:themeFill="background1"/>
            <w:jc w:val="center"/>
            <w:rPr>
              <w:rFonts w:ascii="Arial" w:hAnsi="Arial" w:cs="Arial"/>
              <w:b/>
              <w:sz w:val="20"/>
            </w:rPr>
          </w:pPr>
          <w:r>
            <w:rPr>
              <w:rFonts w:ascii="Arial" w:hAnsi="Arial" w:cs="Arial"/>
              <w:b/>
              <w:sz w:val="20"/>
            </w:rPr>
            <w:t xml:space="preserve">Apartado </w:t>
          </w:r>
        </w:p>
      </w:tc>
      <w:tc>
        <w:tcPr>
          <w:tcW w:w="4890" w:type="dxa"/>
        </w:tcPr>
        <w:p w:rsidR="00FB18FA" w:rsidRPr="00CD578A" w:rsidRDefault="00FB18FA" w:rsidP="008B685A">
          <w:pPr>
            <w:shd w:val="clear" w:color="auto" w:fill="FFFFFF" w:themeFill="background1"/>
            <w:jc w:val="center"/>
            <w:rPr>
              <w:rFonts w:ascii="Arial" w:hAnsi="Arial" w:cs="Arial"/>
              <w:b/>
              <w:sz w:val="20"/>
            </w:rPr>
          </w:pPr>
          <w:r w:rsidRPr="00CD578A">
            <w:rPr>
              <w:rFonts w:ascii="Arial" w:hAnsi="Arial" w:cs="Arial"/>
              <w:b/>
              <w:sz w:val="20"/>
            </w:rPr>
            <w:t>Comentarios</w:t>
          </w:r>
        </w:p>
      </w:tc>
      <w:tc>
        <w:tcPr>
          <w:tcW w:w="4891" w:type="dxa"/>
        </w:tcPr>
        <w:p w:rsidR="00FB18FA" w:rsidRPr="00CD578A" w:rsidRDefault="00FB18FA" w:rsidP="008B685A">
          <w:pPr>
            <w:shd w:val="clear" w:color="auto" w:fill="FFFFFF" w:themeFill="background1"/>
            <w:jc w:val="center"/>
            <w:rPr>
              <w:rFonts w:ascii="Arial" w:hAnsi="Arial" w:cs="Arial"/>
              <w:b/>
              <w:sz w:val="20"/>
            </w:rPr>
          </w:pPr>
          <w:r>
            <w:rPr>
              <w:rFonts w:ascii="Arial" w:hAnsi="Arial" w:cs="Arial"/>
              <w:b/>
              <w:sz w:val="20"/>
            </w:rPr>
            <w:t xml:space="preserve">Atención a Comentarios </w:t>
          </w:r>
        </w:p>
      </w:tc>
    </w:tr>
  </w:tbl>
  <w:p w:rsidR="00790F17" w:rsidRPr="00CD578A" w:rsidRDefault="00790F17" w:rsidP="008B685A">
    <w:pPr>
      <w:pStyle w:val="Encabezado"/>
      <w:shd w:val="clear" w:color="auto" w:fill="FFFFFF" w:themeFill="background1"/>
      <w:rPr>
        <w:b/>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2CC"/>
    <w:multiLevelType w:val="hybridMultilevel"/>
    <w:tmpl w:val="38FEBC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9F4508"/>
    <w:multiLevelType w:val="hybridMultilevel"/>
    <w:tmpl w:val="E7F66C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05066A"/>
    <w:multiLevelType w:val="hybridMultilevel"/>
    <w:tmpl w:val="7082A1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D103D9"/>
    <w:multiLevelType w:val="hybridMultilevel"/>
    <w:tmpl w:val="A2727B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15051E"/>
    <w:multiLevelType w:val="hybridMultilevel"/>
    <w:tmpl w:val="03DC7236"/>
    <w:lvl w:ilvl="0" w:tplc="B8646228">
      <w:start w:val="5"/>
      <w:numFmt w:val="bullet"/>
      <w:lvlText w:val="-"/>
      <w:lvlJc w:val="left"/>
      <w:pPr>
        <w:ind w:left="720" w:hanging="360"/>
      </w:pPr>
      <w:rPr>
        <w:rFonts w:ascii="Soberana Sans" w:eastAsiaTheme="minorHAnsi" w:hAnsi="Soberana San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EA35DC"/>
    <w:multiLevelType w:val="hybridMultilevel"/>
    <w:tmpl w:val="AF9681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31291B"/>
    <w:multiLevelType w:val="hybridMultilevel"/>
    <w:tmpl w:val="90FEDE66"/>
    <w:lvl w:ilvl="0" w:tplc="91A86E36">
      <w:start w:val="5"/>
      <w:numFmt w:val="bullet"/>
      <w:lvlText w:val="-"/>
      <w:lvlJc w:val="left"/>
      <w:pPr>
        <w:ind w:left="720" w:hanging="360"/>
      </w:pPr>
      <w:rPr>
        <w:rFonts w:ascii="Soberana Sans" w:eastAsiaTheme="minorHAnsi" w:hAnsi="Soberana San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70697C"/>
    <w:multiLevelType w:val="hybridMultilevel"/>
    <w:tmpl w:val="BFFE14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373473"/>
    <w:multiLevelType w:val="hybridMultilevel"/>
    <w:tmpl w:val="C7BE7EBC"/>
    <w:lvl w:ilvl="0" w:tplc="37D65FEE">
      <w:start w:val="5"/>
      <w:numFmt w:val="bullet"/>
      <w:lvlText w:val="-"/>
      <w:lvlJc w:val="left"/>
      <w:pPr>
        <w:ind w:left="720" w:hanging="360"/>
      </w:pPr>
      <w:rPr>
        <w:rFonts w:ascii="Soberana Sans" w:eastAsiaTheme="minorHAnsi" w:hAnsi="Soberana San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C437A2"/>
    <w:multiLevelType w:val="hybridMultilevel"/>
    <w:tmpl w:val="66843FBC"/>
    <w:lvl w:ilvl="0" w:tplc="DB560E92">
      <w:start w:val="1"/>
      <w:numFmt w:val="upperRoman"/>
      <w:lvlText w:val="%1."/>
      <w:lvlJc w:val="left"/>
      <w:pPr>
        <w:ind w:left="754" w:hanging="72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0" w15:restartNumberingAfterBreak="0">
    <w:nsid w:val="5C8D472F"/>
    <w:multiLevelType w:val="hybridMultilevel"/>
    <w:tmpl w:val="09F2E7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556C38"/>
    <w:multiLevelType w:val="hybridMultilevel"/>
    <w:tmpl w:val="CBAC34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B23BC9"/>
    <w:multiLevelType w:val="hybridMultilevel"/>
    <w:tmpl w:val="DAC8E798"/>
    <w:lvl w:ilvl="0" w:tplc="6D0ABBE6">
      <w:start w:val="5"/>
      <w:numFmt w:val="bullet"/>
      <w:lvlText w:val="-"/>
      <w:lvlJc w:val="left"/>
      <w:pPr>
        <w:ind w:left="720" w:hanging="360"/>
      </w:pPr>
      <w:rPr>
        <w:rFonts w:ascii="Soberana Sans" w:eastAsiaTheme="minorHAnsi" w:hAnsi="Soberana San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E02D10"/>
    <w:multiLevelType w:val="hybridMultilevel"/>
    <w:tmpl w:val="D7FC960A"/>
    <w:lvl w:ilvl="0" w:tplc="69B23496">
      <w:start w:val="5"/>
      <w:numFmt w:val="bullet"/>
      <w:lvlText w:val="-"/>
      <w:lvlJc w:val="left"/>
      <w:pPr>
        <w:ind w:left="720" w:hanging="360"/>
      </w:pPr>
      <w:rPr>
        <w:rFonts w:ascii="Soberana Sans" w:eastAsiaTheme="minorHAnsi" w:hAnsi="Soberana San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F2495D"/>
    <w:multiLevelType w:val="hybridMultilevel"/>
    <w:tmpl w:val="86D400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CB5ACC"/>
    <w:multiLevelType w:val="hybridMultilevel"/>
    <w:tmpl w:val="CAACC1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5"/>
  </w:num>
  <w:num w:numId="5">
    <w:abstractNumId w:val="3"/>
  </w:num>
  <w:num w:numId="6">
    <w:abstractNumId w:val="7"/>
  </w:num>
  <w:num w:numId="7">
    <w:abstractNumId w:val="15"/>
  </w:num>
  <w:num w:numId="8">
    <w:abstractNumId w:val="14"/>
  </w:num>
  <w:num w:numId="9">
    <w:abstractNumId w:val="1"/>
  </w:num>
  <w:num w:numId="10">
    <w:abstractNumId w:val="11"/>
  </w:num>
  <w:num w:numId="11">
    <w:abstractNumId w:val="2"/>
  </w:num>
  <w:num w:numId="12">
    <w:abstractNumId w:val="8"/>
  </w:num>
  <w:num w:numId="13">
    <w:abstractNumId w:val="4"/>
  </w:num>
  <w:num w:numId="14">
    <w:abstractNumId w:val="6"/>
  </w:num>
  <w:num w:numId="15">
    <w:abstractNumId w:val="12"/>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06"/>
    <w:rsid w:val="00003F49"/>
    <w:rsid w:val="0000489E"/>
    <w:rsid w:val="00006D40"/>
    <w:rsid w:val="00016049"/>
    <w:rsid w:val="000215F0"/>
    <w:rsid w:val="00026C2B"/>
    <w:rsid w:val="00043400"/>
    <w:rsid w:val="0005128F"/>
    <w:rsid w:val="00056485"/>
    <w:rsid w:val="00062631"/>
    <w:rsid w:val="000627EF"/>
    <w:rsid w:val="00067CDF"/>
    <w:rsid w:val="000716AA"/>
    <w:rsid w:val="00071CE0"/>
    <w:rsid w:val="00072648"/>
    <w:rsid w:val="000737A3"/>
    <w:rsid w:val="000800CD"/>
    <w:rsid w:val="00080511"/>
    <w:rsid w:val="0008283B"/>
    <w:rsid w:val="000920A6"/>
    <w:rsid w:val="00097C9B"/>
    <w:rsid w:val="000A210A"/>
    <w:rsid w:val="000B24DC"/>
    <w:rsid w:val="000B4106"/>
    <w:rsid w:val="000C2696"/>
    <w:rsid w:val="000C4AE0"/>
    <w:rsid w:val="000D1622"/>
    <w:rsid w:val="000D1D58"/>
    <w:rsid w:val="000D21C4"/>
    <w:rsid w:val="000D615A"/>
    <w:rsid w:val="000E0044"/>
    <w:rsid w:val="000E0E00"/>
    <w:rsid w:val="000F0E68"/>
    <w:rsid w:val="000F20E2"/>
    <w:rsid w:val="000F7C90"/>
    <w:rsid w:val="001003F5"/>
    <w:rsid w:val="00107903"/>
    <w:rsid w:val="00110BE4"/>
    <w:rsid w:val="00117A62"/>
    <w:rsid w:val="0012242C"/>
    <w:rsid w:val="00123216"/>
    <w:rsid w:val="001346FD"/>
    <w:rsid w:val="00137BB5"/>
    <w:rsid w:val="0014164C"/>
    <w:rsid w:val="00144662"/>
    <w:rsid w:val="0015029A"/>
    <w:rsid w:val="00151DDD"/>
    <w:rsid w:val="00162CFB"/>
    <w:rsid w:val="001634E9"/>
    <w:rsid w:val="00164D2C"/>
    <w:rsid w:val="00165A73"/>
    <w:rsid w:val="0017325D"/>
    <w:rsid w:val="00174C1A"/>
    <w:rsid w:val="00182EEF"/>
    <w:rsid w:val="00183FBF"/>
    <w:rsid w:val="001924F2"/>
    <w:rsid w:val="00197B66"/>
    <w:rsid w:val="001A0576"/>
    <w:rsid w:val="001A425F"/>
    <w:rsid w:val="001A4E6D"/>
    <w:rsid w:val="001B0688"/>
    <w:rsid w:val="001C227F"/>
    <w:rsid w:val="001C3232"/>
    <w:rsid w:val="001D22C7"/>
    <w:rsid w:val="001D418B"/>
    <w:rsid w:val="001E0191"/>
    <w:rsid w:val="001E3CC2"/>
    <w:rsid w:val="001E5F66"/>
    <w:rsid w:val="001E6879"/>
    <w:rsid w:val="001E7C17"/>
    <w:rsid w:val="001F216F"/>
    <w:rsid w:val="001F4E25"/>
    <w:rsid w:val="0022039D"/>
    <w:rsid w:val="00221AD2"/>
    <w:rsid w:val="00221BD7"/>
    <w:rsid w:val="002235EC"/>
    <w:rsid w:val="0023401E"/>
    <w:rsid w:val="00242A23"/>
    <w:rsid w:val="00245BC8"/>
    <w:rsid w:val="00251588"/>
    <w:rsid w:val="002604C9"/>
    <w:rsid w:val="002627DA"/>
    <w:rsid w:val="0027126D"/>
    <w:rsid w:val="00275261"/>
    <w:rsid w:val="002758D0"/>
    <w:rsid w:val="002764E3"/>
    <w:rsid w:val="00276B8F"/>
    <w:rsid w:val="00284988"/>
    <w:rsid w:val="00285E6F"/>
    <w:rsid w:val="00287039"/>
    <w:rsid w:val="00287B96"/>
    <w:rsid w:val="00290173"/>
    <w:rsid w:val="0029363C"/>
    <w:rsid w:val="002963A2"/>
    <w:rsid w:val="002A0166"/>
    <w:rsid w:val="002A1D91"/>
    <w:rsid w:val="002A247C"/>
    <w:rsid w:val="002A49A1"/>
    <w:rsid w:val="002A6521"/>
    <w:rsid w:val="002B05B2"/>
    <w:rsid w:val="002B1617"/>
    <w:rsid w:val="002B54EB"/>
    <w:rsid w:val="002C58FE"/>
    <w:rsid w:val="002D32E5"/>
    <w:rsid w:val="002D4E10"/>
    <w:rsid w:val="002D79FD"/>
    <w:rsid w:val="002D7F2B"/>
    <w:rsid w:val="002E1FC8"/>
    <w:rsid w:val="002E4FF8"/>
    <w:rsid w:val="002F553F"/>
    <w:rsid w:val="00315371"/>
    <w:rsid w:val="00322134"/>
    <w:rsid w:val="003242D5"/>
    <w:rsid w:val="003278FF"/>
    <w:rsid w:val="00335D3E"/>
    <w:rsid w:val="0033678D"/>
    <w:rsid w:val="003455EB"/>
    <w:rsid w:val="003501DF"/>
    <w:rsid w:val="00351280"/>
    <w:rsid w:val="0036102A"/>
    <w:rsid w:val="00362433"/>
    <w:rsid w:val="00363E00"/>
    <w:rsid w:val="00366411"/>
    <w:rsid w:val="003666B4"/>
    <w:rsid w:val="00367B51"/>
    <w:rsid w:val="00367E07"/>
    <w:rsid w:val="003751DF"/>
    <w:rsid w:val="00375A16"/>
    <w:rsid w:val="003838C0"/>
    <w:rsid w:val="00385449"/>
    <w:rsid w:val="003907A4"/>
    <w:rsid w:val="00390F61"/>
    <w:rsid w:val="003A1C93"/>
    <w:rsid w:val="003A206C"/>
    <w:rsid w:val="003A3ECF"/>
    <w:rsid w:val="003A61D1"/>
    <w:rsid w:val="003A675B"/>
    <w:rsid w:val="003B763B"/>
    <w:rsid w:val="003C25B4"/>
    <w:rsid w:val="003C77BE"/>
    <w:rsid w:val="003D00FE"/>
    <w:rsid w:val="003D0D94"/>
    <w:rsid w:val="003D14D0"/>
    <w:rsid w:val="003E1DCF"/>
    <w:rsid w:val="003E4124"/>
    <w:rsid w:val="003E4AE3"/>
    <w:rsid w:val="003E5787"/>
    <w:rsid w:val="003F5920"/>
    <w:rsid w:val="0040497A"/>
    <w:rsid w:val="0040562F"/>
    <w:rsid w:val="004071B3"/>
    <w:rsid w:val="00407A6D"/>
    <w:rsid w:val="00410B85"/>
    <w:rsid w:val="00420DF7"/>
    <w:rsid w:val="00422CA9"/>
    <w:rsid w:val="00425261"/>
    <w:rsid w:val="0043539F"/>
    <w:rsid w:val="00441E51"/>
    <w:rsid w:val="00443E57"/>
    <w:rsid w:val="004478B3"/>
    <w:rsid w:val="004478BF"/>
    <w:rsid w:val="00456B4A"/>
    <w:rsid w:val="0046535B"/>
    <w:rsid w:val="00465564"/>
    <w:rsid w:val="00477978"/>
    <w:rsid w:val="004820DC"/>
    <w:rsid w:val="004915EF"/>
    <w:rsid w:val="004959C9"/>
    <w:rsid w:val="004966AB"/>
    <w:rsid w:val="00496C5E"/>
    <w:rsid w:val="00497D69"/>
    <w:rsid w:val="004A2963"/>
    <w:rsid w:val="004A681B"/>
    <w:rsid w:val="004B20DD"/>
    <w:rsid w:val="004B562D"/>
    <w:rsid w:val="004C3375"/>
    <w:rsid w:val="004C3AAB"/>
    <w:rsid w:val="004C4FF7"/>
    <w:rsid w:val="004D3354"/>
    <w:rsid w:val="004E5CA3"/>
    <w:rsid w:val="004E7759"/>
    <w:rsid w:val="004F0096"/>
    <w:rsid w:val="004F0D82"/>
    <w:rsid w:val="004F0F4D"/>
    <w:rsid w:val="004F383B"/>
    <w:rsid w:val="00500EF0"/>
    <w:rsid w:val="00501842"/>
    <w:rsid w:val="00501E16"/>
    <w:rsid w:val="00501E85"/>
    <w:rsid w:val="005037FB"/>
    <w:rsid w:val="005062EE"/>
    <w:rsid w:val="005130E3"/>
    <w:rsid w:val="00520EBC"/>
    <w:rsid w:val="005251C3"/>
    <w:rsid w:val="00530E6B"/>
    <w:rsid w:val="005349C6"/>
    <w:rsid w:val="0054324C"/>
    <w:rsid w:val="00551256"/>
    <w:rsid w:val="005536DC"/>
    <w:rsid w:val="00560780"/>
    <w:rsid w:val="00567057"/>
    <w:rsid w:val="00567247"/>
    <w:rsid w:val="005705B3"/>
    <w:rsid w:val="00576A2C"/>
    <w:rsid w:val="00580E62"/>
    <w:rsid w:val="00584DA4"/>
    <w:rsid w:val="00586E25"/>
    <w:rsid w:val="005952FB"/>
    <w:rsid w:val="00597133"/>
    <w:rsid w:val="00597553"/>
    <w:rsid w:val="005A46AC"/>
    <w:rsid w:val="005B054D"/>
    <w:rsid w:val="005B4F0D"/>
    <w:rsid w:val="005B6931"/>
    <w:rsid w:val="005C07EE"/>
    <w:rsid w:val="005C0A58"/>
    <w:rsid w:val="005C20C9"/>
    <w:rsid w:val="005C2E5F"/>
    <w:rsid w:val="005C541E"/>
    <w:rsid w:val="005C59EE"/>
    <w:rsid w:val="005D2456"/>
    <w:rsid w:val="005D2CF5"/>
    <w:rsid w:val="005D3909"/>
    <w:rsid w:val="005E2F06"/>
    <w:rsid w:val="005E46DD"/>
    <w:rsid w:val="005E5D53"/>
    <w:rsid w:val="005E6299"/>
    <w:rsid w:val="005E7399"/>
    <w:rsid w:val="005F47E8"/>
    <w:rsid w:val="005F4B8D"/>
    <w:rsid w:val="0061503A"/>
    <w:rsid w:val="00616B85"/>
    <w:rsid w:val="0061766E"/>
    <w:rsid w:val="006255FD"/>
    <w:rsid w:val="0062617E"/>
    <w:rsid w:val="00637544"/>
    <w:rsid w:val="006378C2"/>
    <w:rsid w:val="0064355A"/>
    <w:rsid w:val="00643B94"/>
    <w:rsid w:val="00645069"/>
    <w:rsid w:val="00646477"/>
    <w:rsid w:val="006523E2"/>
    <w:rsid w:val="0065748F"/>
    <w:rsid w:val="00661FD8"/>
    <w:rsid w:val="00670BDD"/>
    <w:rsid w:val="00671F45"/>
    <w:rsid w:val="00676A0C"/>
    <w:rsid w:val="00683472"/>
    <w:rsid w:val="00683B04"/>
    <w:rsid w:val="00685FF6"/>
    <w:rsid w:val="00692B4B"/>
    <w:rsid w:val="006956BF"/>
    <w:rsid w:val="006A02FF"/>
    <w:rsid w:val="006A0E52"/>
    <w:rsid w:val="006B5E91"/>
    <w:rsid w:val="006C5847"/>
    <w:rsid w:val="006D237A"/>
    <w:rsid w:val="006D2F27"/>
    <w:rsid w:val="006D6B4F"/>
    <w:rsid w:val="006E3343"/>
    <w:rsid w:val="006E4268"/>
    <w:rsid w:val="006E7753"/>
    <w:rsid w:val="006F72D1"/>
    <w:rsid w:val="006F7AE6"/>
    <w:rsid w:val="00704D78"/>
    <w:rsid w:val="0070603F"/>
    <w:rsid w:val="007073FD"/>
    <w:rsid w:val="007137DB"/>
    <w:rsid w:val="00716136"/>
    <w:rsid w:val="007163B3"/>
    <w:rsid w:val="00720389"/>
    <w:rsid w:val="007215AB"/>
    <w:rsid w:val="007222B5"/>
    <w:rsid w:val="00736ECA"/>
    <w:rsid w:val="0074356C"/>
    <w:rsid w:val="00744025"/>
    <w:rsid w:val="00751E57"/>
    <w:rsid w:val="00752504"/>
    <w:rsid w:val="00754973"/>
    <w:rsid w:val="007643C3"/>
    <w:rsid w:val="00765C64"/>
    <w:rsid w:val="007672E8"/>
    <w:rsid w:val="007701FA"/>
    <w:rsid w:val="00772F3D"/>
    <w:rsid w:val="00773A5C"/>
    <w:rsid w:val="00773F2D"/>
    <w:rsid w:val="00775E45"/>
    <w:rsid w:val="007831B9"/>
    <w:rsid w:val="00790F17"/>
    <w:rsid w:val="0079224E"/>
    <w:rsid w:val="007954FF"/>
    <w:rsid w:val="007B0156"/>
    <w:rsid w:val="007C0892"/>
    <w:rsid w:val="007C299C"/>
    <w:rsid w:val="007E3179"/>
    <w:rsid w:val="007F1DE3"/>
    <w:rsid w:val="007F6628"/>
    <w:rsid w:val="00803439"/>
    <w:rsid w:val="00804FE9"/>
    <w:rsid w:val="00805735"/>
    <w:rsid w:val="00812F77"/>
    <w:rsid w:val="008142BB"/>
    <w:rsid w:val="00820861"/>
    <w:rsid w:val="00822CD3"/>
    <w:rsid w:val="00830C21"/>
    <w:rsid w:val="00830E47"/>
    <w:rsid w:val="008316D4"/>
    <w:rsid w:val="0083415B"/>
    <w:rsid w:val="00842A7A"/>
    <w:rsid w:val="00843E3A"/>
    <w:rsid w:val="00845887"/>
    <w:rsid w:val="0085592B"/>
    <w:rsid w:val="00860013"/>
    <w:rsid w:val="00862FBC"/>
    <w:rsid w:val="008666D3"/>
    <w:rsid w:val="0088060B"/>
    <w:rsid w:val="0088325A"/>
    <w:rsid w:val="00886641"/>
    <w:rsid w:val="00887B3C"/>
    <w:rsid w:val="008968A7"/>
    <w:rsid w:val="00897CDA"/>
    <w:rsid w:val="008A14A7"/>
    <w:rsid w:val="008A2C1A"/>
    <w:rsid w:val="008A6EE3"/>
    <w:rsid w:val="008B17CF"/>
    <w:rsid w:val="008B685A"/>
    <w:rsid w:val="008C0824"/>
    <w:rsid w:val="008D609E"/>
    <w:rsid w:val="008E5C9A"/>
    <w:rsid w:val="00905672"/>
    <w:rsid w:val="00906CF8"/>
    <w:rsid w:val="00907758"/>
    <w:rsid w:val="009167A7"/>
    <w:rsid w:val="00920916"/>
    <w:rsid w:val="00923EBF"/>
    <w:rsid w:val="00927732"/>
    <w:rsid w:val="009345C0"/>
    <w:rsid w:val="00934DCB"/>
    <w:rsid w:val="009366CF"/>
    <w:rsid w:val="009406F3"/>
    <w:rsid w:val="00943974"/>
    <w:rsid w:val="00947676"/>
    <w:rsid w:val="00950349"/>
    <w:rsid w:val="00954A62"/>
    <w:rsid w:val="00955E04"/>
    <w:rsid w:val="00967668"/>
    <w:rsid w:val="00973A58"/>
    <w:rsid w:val="00974754"/>
    <w:rsid w:val="009856C4"/>
    <w:rsid w:val="00987E3E"/>
    <w:rsid w:val="00990E03"/>
    <w:rsid w:val="00997FC0"/>
    <w:rsid w:val="009A348B"/>
    <w:rsid w:val="009A4079"/>
    <w:rsid w:val="009B4883"/>
    <w:rsid w:val="009D012D"/>
    <w:rsid w:val="009D2255"/>
    <w:rsid w:val="009D5C02"/>
    <w:rsid w:val="009D73DB"/>
    <w:rsid w:val="009E1C04"/>
    <w:rsid w:val="009F0267"/>
    <w:rsid w:val="009F41EB"/>
    <w:rsid w:val="009F4AD3"/>
    <w:rsid w:val="009F4CF4"/>
    <w:rsid w:val="00A01D11"/>
    <w:rsid w:val="00A02A6D"/>
    <w:rsid w:val="00A1614C"/>
    <w:rsid w:val="00A24D5F"/>
    <w:rsid w:val="00A264F2"/>
    <w:rsid w:val="00A31F61"/>
    <w:rsid w:val="00A35712"/>
    <w:rsid w:val="00A372EC"/>
    <w:rsid w:val="00A416F4"/>
    <w:rsid w:val="00A451D8"/>
    <w:rsid w:val="00A54A8B"/>
    <w:rsid w:val="00A658E1"/>
    <w:rsid w:val="00A66AA1"/>
    <w:rsid w:val="00A66CC9"/>
    <w:rsid w:val="00A8025A"/>
    <w:rsid w:val="00A82A17"/>
    <w:rsid w:val="00A9479E"/>
    <w:rsid w:val="00A94A45"/>
    <w:rsid w:val="00AA3D35"/>
    <w:rsid w:val="00AA7374"/>
    <w:rsid w:val="00AA7DFA"/>
    <w:rsid w:val="00AB5A67"/>
    <w:rsid w:val="00AC487A"/>
    <w:rsid w:val="00AC59B4"/>
    <w:rsid w:val="00AD02D9"/>
    <w:rsid w:val="00AD4FB3"/>
    <w:rsid w:val="00AE0CB0"/>
    <w:rsid w:val="00B0058A"/>
    <w:rsid w:val="00B00AEE"/>
    <w:rsid w:val="00B04842"/>
    <w:rsid w:val="00B0536C"/>
    <w:rsid w:val="00B07028"/>
    <w:rsid w:val="00B12A07"/>
    <w:rsid w:val="00B247BB"/>
    <w:rsid w:val="00B26315"/>
    <w:rsid w:val="00B30881"/>
    <w:rsid w:val="00B313CA"/>
    <w:rsid w:val="00B339B2"/>
    <w:rsid w:val="00B359ED"/>
    <w:rsid w:val="00B376A4"/>
    <w:rsid w:val="00B4065B"/>
    <w:rsid w:val="00B436CA"/>
    <w:rsid w:val="00B440D8"/>
    <w:rsid w:val="00B54D17"/>
    <w:rsid w:val="00B6027E"/>
    <w:rsid w:val="00B63EB5"/>
    <w:rsid w:val="00B64080"/>
    <w:rsid w:val="00B65C97"/>
    <w:rsid w:val="00B76EB0"/>
    <w:rsid w:val="00B77879"/>
    <w:rsid w:val="00B86F4D"/>
    <w:rsid w:val="00B91523"/>
    <w:rsid w:val="00B91FAB"/>
    <w:rsid w:val="00B93683"/>
    <w:rsid w:val="00BA17DA"/>
    <w:rsid w:val="00BA4061"/>
    <w:rsid w:val="00BA464C"/>
    <w:rsid w:val="00BA527B"/>
    <w:rsid w:val="00BB10D6"/>
    <w:rsid w:val="00BB42F3"/>
    <w:rsid w:val="00BC58DB"/>
    <w:rsid w:val="00BC6445"/>
    <w:rsid w:val="00BC6EC2"/>
    <w:rsid w:val="00BD3530"/>
    <w:rsid w:val="00BE7236"/>
    <w:rsid w:val="00BF6D31"/>
    <w:rsid w:val="00C002C5"/>
    <w:rsid w:val="00C02037"/>
    <w:rsid w:val="00C028D0"/>
    <w:rsid w:val="00C03F04"/>
    <w:rsid w:val="00C06198"/>
    <w:rsid w:val="00C11F7D"/>
    <w:rsid w:val="00C15A1D"/>
    <w:rsid w:val="00C247E5"/>
    <w:rsid w:val="00C27E17"/>
    <w:rsid w:val="00C33275"/>
    <w:rsid w:val="00C3702F"/>
    <w:rsid w:val="00C435DC"/>
    <w:rsid w:val="00C43FA9"/>
    <w:rsid w:val="00C541A5"/>
    <w:rsid w:val="00C557C3"/>
    <w:rsid w:val="00C63A76"/>
    <w:rsid w:val="00C6577E"/>
    <w:rsid w:val="00C749F3"/>
    <w:rsid w:val="00C74BEB"/>
    <w:rsid w:val="00C76822"/>
    <w:rsid w:val="00C81620"/>
    <w:rsid w:val="00C9100E"/>
    <w:rsid w:val="00C950CE"/>
    <w:rsid w:val="00CA15D1"/>
    <w:rsid w:val="00CA4FE9"/>
    <w:rsid w:val="00CB4E72"/>
    <w:rsid w:val="00CB4FF7"/>
    <w:rsid w:val="00CD0644"/>
    <w:rsid w:val="00CD0E84"/>
    <w:rsid w:val="00CD0FF1"/>
    <w:rsid w:val="00CD578A"/>
    <w:rsid w:val="00CD600C"/>
    <w:rsid w:val="00CF006B"/>
    <w:rsid w:val="00CF1164"/>
    <w:rsid w:val="00CF7B8B"/>
    <w:rsid w:val="00D1064C"/>
    <w:rsid w:val="00D11417"/>
    <w:rsid w:val="00D119FF"/>
    <w:rsid w:val="00D16F1B"/>
    <w:rsid w:val="00D22647"/>
    <w:rsid w:val="00D22E5C"/>
    <w:rsid w:val="00D32192"/>
    <w:rsid w:val="00D3417A"/>
    <w:rsid w:val="00D400F8"/>
    <w:rsid w:val="00D52966"/>
    <w:rsid w:val="00D56427"/>
    <w:rsid w:val="00D629E0"/>
    <w:rsid w:val="00D639F5"/>
    <w:rsid w:val="00D63B6B"/>
    <w:rsid w:val="00D669EC"/>
    <w:rsid w:val="00D73FCD"/>
    <w:rsid w:val="00D75E98"/>
    <w:rsid w:val="00D90C2D"/>
    <w:rsid w:val="00D92AF5"/>
    <w:rsid w:val="00D93E90"/>
    <w:rsid w:val="00D96B09"/>
    <w:rsid w:val="00DA0F61"/>
    <w:rsid w:val="00DB0EE2"/>
    <w:rsid w:val="00DB36D9"/>
    <w:rsid w:val="00DC216F"/>
    <w:rsid w:val="00DC2B05"/>
    <w:rsid w:val="00DC2CB8"/>
    <w:rsid w:val="00DC5207"/>
    <w:rsid w:val="00DC5709"/>
    <w:rsid w:val="00DD1637"/>
    <w:rsid w:val="00DD1D4C"/>
    <w:rsid w:val="00DD3306"/>
    <w:rsid w:val="00DD3D81"/>
    <w:rsid w:val="00DD73BA"/>
    <w:rsid w:val="00DF0350"/>
    <w:rsid w:val="00DF2CD0"/>
    <w:rsid w:val="00DF2EBE"/>
    <w:rsid w:val="00E00420"/>
    <w:rsid w:val="00E01337"/>
    <w:rsid w:val="00E0284F"/>
    <w:rsid w:val="00E02C21"/>
    <w:rsid w:val="00E03F38"/>
    <w:rsid w:val="00E17A7D"/>
    <w:rsid w:val="00E21B05"/>
    <w:rsid w:val="00E25D97"/>
    <w:rsid w:val="00E41E74"/>
    <w:rsid w:val="00E4296B"/>
    <w:rsid w:val="00E52695"/>
    <w:rsid w:val="00E534F8"/>
    <w:rsid w:val="00E5383A"/>
    <w:rsid w:val="00E543F1"/>
    <w:rsid w:val="00E54DE7"/>
    <w:rsid w:val="00E56E3B"/>
    <w:rsid w:val="00E64616"/>
    <w:rsid w:val="00E64988"/>
    <w:rsid w:val="00E7460C"/>
    <w:rsid w:val="00E7616E"/>
    <w:rsid w:val="00E76D1A"/>
    <w:rsid w:val="00E76FF1"/>
    <w:rsid w:val="00E830EE"/>
    <w:rsid w:val="00E83A08"/>
    <w:rsid w:val="00E8485B"/>
    <w:rsid w:val="00E85C88"/>
    <w:rsid w:val="00E943ED"/>
    <w:rsid w:val="00EA1ABE"/>
    <w:rsid w:val="00EA6C5B"/>
    <w:rsid w:val="00EB014A"/>
    <w:rsid w:val="00EB4644"/>
    <w:rsid w:val="00EC1C09"/>
    <w:rsid w:val="00EC491C"/>
    <w:rsid w:val="00EC7CEC"/>
    <w:rsid w:val="00ED3741"/>
    <w:rsid w:val="00EE2C60"/>
    <w:rsid w:val="00EE2DFD"/>
    <w:rsid w:val="00EE496C"/>
    <w:rsid w:val="00EF10F1"/>
    <w:rsid w:val="00EF202E"/>
    <w:rsid w:val="00EF464F"/>
    <w:rsid w:val="00F050DB"/>
    <w:rsid w:val="00F1127F"/>
    <w:rsid w:val="00F119DB"/>
    <w:rsid w:val="00F16E80"/>
    <w:rsid w:val="00F20D23"/>
    <w:rsid w:val="00F24EB2"/>
    <w:rsid w:val="00F3295D"/>
    <w:rsid w:val="00F32A1D"/>
    <w:rsid w:val="00F33627"/>
    <w:rsid w:val="00F35515"/>
    <w:rsid w:val="00F36444"/>
    <w:rsid w:val="00F365A2"/>
    <w:rsid w:val="00F41311"/>
    <w:rsid w:val="00F434CC"/>
    <w:rsid w:val="00F4529A"/>
    <w:rsid w:val="00F526C6"/>
    <w:rsid w:val="00F55859"/>
    <w:rsid w:val="00F565B6"/>
    <w:rsid w:val="00F6005E"/>
    <w:rsid w:val="00F62446"/>
    <w:rsid w:val="00F752F1"/>
    <w:rsid w:val="00F80933"/>
    <w:rsid w:val="00F8292D"/>
    <w:rsid w:val="00F843D9"/>
    <w:rsid w:val="00F8621B"/>
    <w:rsid w:val="00F91C99"/>
    <w:rsid w:val="00F9676F"/>
    <w:rsid w:val="00FA2D3F"/>
    <w:rsid w:val="00FA6E1C"/>
    <w:rsid w:val="00FB18FA"/>
    <w:rsid w:val="00FB5139"/>
    <w:rsid w:val="00FC34B8"/>
    <w:rsid w:val="00FC4B17"/>
    <w:rsid w:val="00FD052D"/>
    <w:rsid w:val="00FD2C09"/>
    <w:rsid w:val="00FD31F4"/>
    <w:rsid w:val="00FE12EF"/>
    <w:rsid w:val="00FF11C7"/>
    <w:rsid w:val="00FF5EA9"/>
    <w:rsid w:val="00FF5F53"/>
    <w:rsid w:val="00FF6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44D93BA-90EE-4FF8-9971-5B40834C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Theme="minorHAnsi" w:hAnsi="Soberana Sans"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87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039"/>
  </w:style>
  <w:style w:type="paragraph" w:styleId="Piedepgina">
    <w:name w:val="footer"/>
    <w:basedOn w:val="Normal"/>
    <w:link w:val="PiedepginaCar"/>
    <w:uiPriority w:val="99"/>
    <w:unhideWhenUsed/>
    <w:rsid w:val="00287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039"/>
  </w:style>
  <w:style w:type="paragraph" w:styleId="Prrafodelista">
    <w:name w:val="List Paragraph"/>
    <w:basedOn w:val="Normal"/>
    <w:uiPriority w:val="34"/>
    <w:qFormat/>
    <w:rsid w:val="00567057"/>
    <w:pPr>
      <w:ind w:left="720"/>
      <w:contextualSpacing/>
    </w:pPr>
  </w:style>
  <w:style w:type="character" w:styleId="Refdecomentario">
    <w:name w:val="annotation reference"/>
    <w:basedOn w:val="Fuentedeprrafopredeter"/>
    <w:uiPriority w:val="99"/>
    <w:semiHidden/>
    <w:unhideWhenUsed/>
    <w:rsid w:val="00367B51"/>
    <w:rPr>
      <w:sz w:val="16"/>
      <w:szCs w:val="16"/>
    </w:rPr>
  </w:style>
  <w:style w:type="paragraph" w:styleId="Textocomentario">
    <w:name w:val="annotation text"/>
    <w:basedOn w:val="Normal"/>
    <w:link w:val="TextocomentarioCar"/>
    <w:uiPriority w:val="99"/>
    <w:semiHidden/>
    <w:unhideWhenUsed/>
    <w:rsid w:val="00367B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B51"/>
    <w:rPr>
      <w:sz w:val="20"/>
      <w:szCs w:val="20"/>
    </w:rPr>
  </w:style>
  <w:style w:type="paragraph" w:styleId="Asuntodelcomentario">
    <w:name w:val="annotation subject"/>
    <w:basedOn w:val="Textocomentario"/>
    <w:next w:val="Textocomentario"/>
    <w:link w:val="AsuntodelcomentarioCar"/>
    <w:uiPriority w:val="99"/>
    <w:semiHidden/>
    <w:unhideWhenUsed/>
    <w:rsid w:val="00367B51"/>
    <w:rPr>
      <w:b/>
      <w:bCs/>
    </w:rPr>
  </w:style>
  <w:style w:type="character" w:customStyle="1" w:styleId="AsuntodelcomentarioCar">
    <w:name w:val="Asunto del comentario Car"/>
    <w:basedOn w:val="TextocomentarioCar"/>
    <w:link w:val="Asuntodelcomentario"/>
    <w:uiPriority w:val="99"/>
    <w:semiHidden/>
    <w:rsid w:val="00367B51"/>
    <w:rPr>
      <w:b/>
      <w:bCs/>
      <w:sz w:val="20"/>
      <w:szCs w:val="20"/>
    </w:rPr>
  </w:style>
  <w:style w:type="paragraph" w:styleId="Textodeglobo">
    <w:name w:val="Balloon Text"/>
    <w:basedOn w:val="Normal"/>
    <w:link w:val="TextodegloboCar"/>
    <w:uiPriority w:val="99"/>
    <w:semiHidden/>
    <w:unhideWhenUsed/>
    <w:rsid w:val="00367B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B51"/>
    <w:rPr>
      <w:rFonts w:ascii="Segoe UI" w:hAnsi="Segoe UI" w:cs="Segoe UI"/>
      <w:sz w:val="18"/>
      <w:szCs w:val="18"/>
    </w:rPr>
  </w:style>
  <w:style w:type="character" w:styleId="Hipervnculo">
    <w:name w:val="Hyperlink"/>
    <w:basedOn w:val="Fuentedeprrafopredeter"/>
    <w:uiPriority w:val="99"/>
    <w:unhideWhenUsed/>
    <w:rsid w:val="00FF5F53"/>
    <w:rPr>
      <w:color w:val="0563C1" w:themeColor="hyperlink"/>
      <w:u w:val="single"/>
    </w:rPr>
  </w:style>
  <w:style w:type="paragraph" w:customStyle="1" w:styleId="Default">
    <w:name w:val="Default"/>
    <w:rsid w:val="00B436CA"/>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ED48-E2AD-429A-9D7A-53E340C6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2520</Words>
  <Characters>13863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Abrego Salazar</dc:creator>
  <cp:lastModifiedBy>DGPOP</cp:lastModifiedBy>
  <cp:revision>40</cp:revision>
  <cp:lastPrinted>2017-04-03T21:59:00Z</cp:lastPrinted>
  <dcterms:created xsi:type="dcterms:W3CDTF">2017-03-29T18:27:00Z</dcterms:created>
  <dcterms:modified xsi:type="dcterms:W3CDTF">2017-04-04T15:55:00Z</dcterms:modified>
</cp:coreProperties>
</file>