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97" w:rsidRPr="00656472" w:rsidRDefault="001D7797" w:rsidP="001D7797">
      <w:pPr>
        <w:spacing w:after="0" w:line="240" w:lineRule="auto"/>
        <w:jc w:val="right"/>
        <w:rPr>
          <w:rFonts w:ascii="Soberana Sans" w:hAnsi="Soberana Sans"/>
          <w:sz w:val="20"/>
          <w:szCs w:val="20"/>
        </w:rPr>
      </w:pPr>
      <w:r w:rsidRPr="00656472">
        <w:rPr>
          <w:rFonts w:ascii="Soberana Sans" w:hAnsi="Soberana Sans"/>
          <w:sz w:val="20"/>
          <w:szCs w:val="20"/>
        </w:rPr>
        <w:t xml:space="preserve">Ciudad de México, a </w:t>
      </w:r>
      <w:r w:rsidR="00AC74E5">
        <w:rPr>
          <w:rFonts w:ascii="Soberana Sans" w:hAnsi="Soberana Sans"/>
          <w:sz w:val="20"/>
          <w:szCs w:val="20"/>
        </w:rPr>
        <w:t>28</w:t>
      </w:r>
      <w:bookmarkStart w:id="0" w:name="_GoBack"/>
      <w:bookmarkEnd w:id="0"/>
      <w:r w:rsidRPr="00656472">
        <w:rPr>
          <w:rFonts w:ascii="Soberana Sans" w:hAnsi="Soberana Sans"/>
          <w:sz w:val="20"/>
          <w:szCs w:val="20"/>
        </w:rPr>
        <w:t xml:space="preserve"> de </w:t>
      </w:r>
      <w:r w:rsidR="00AC74E5">
        <w:rPr>
          <w:rFonts w:ascii="Soberana Sans" w:hAnsi="Soberana Sans"/>
          <w:sz w:val="20"/>
          <w:szCs w:val="20"/>
        </w:rPr>
        <w:t>abril</w:t>
      </w:r>
      <w:r w:rsidRPr="00656472">
        <w:rPr>
          <w:rFonts w:ascii="Soberana Sans" w:hAnsi="Soberana Sans"/>
          <w:sz w:val="20"/>
          <w:szCs w:val="20"/>
        </w:rPr>
        <w:t xml:space="preserve"> </w:t>
      </w:r>
      <w:r>
        <w:rPr>
          <w:rFonts w:ascii="Soberana Sans" w:hAnsi="Soberana Sans"/>
          <w:sz w:val="20"/>
          <w:szCs w:val="20"/>
        </w:rPr>
        <w:t>de 2017</w:t>
      </w:r>
    </w:p>
    <w:p w:rsidR="001D7797" w:rsidRDefault="001D7797" w:rsidP="001D7797">
      <w:pPr>
        <w:spacing w:after="0" w:line="240" w:lineRule="auto"/>
        <w:jc w:val="center"/>
        <w:rPr>
          <w:rFonts w:ascii="Soberana Sans" w:hAnsi="Soberana Sans"/>
          <w:b/>
          <w:sz w:val="20"/>
          <w:szCs w:val="20"/>
        </w:rPr>
      </w:pPr>
    </w:p>
    <w:tbl>
      <w:tblPr>
        <w:tblStyle w:val="Tablaconcuadrcula"/>
        <w:tblpPr w:leftFromText="141" w:rightFromText="141" w:vertAnchor="text" w:horzAnchor="margin" w:tblpX="-318" w:tblpY="-36"/>
        <w:tblW w:w="13893" w:type="dxa"/>
        <w:shd w:val="pct12" w:color="auto" w:fill="auto"/>
        <w:tblLook w:val="04A0" w:firstRow="1" w:lastRow="0" w:firstColumn="1" w:lastColumn="0" w:noHBand="0" w:noVBand="1"/>
      </w:tblPr>
      <w:tblGrid>
        <w:gridCol w:w="13893"/>
      </w:tblGrid>
      <w:tr w:rsidR="007D438D" w:rsidRPr="002C49DA" w:rsidTr="003A2EE2">
        <w:trPr>
          <w:trHeight w:val="878"/>
        </w:trPr>
        <w:tc>
          <w:tcPr>
            <w:tcW w:w="13893" w:type="dxa"/>
            <w:shd w:val="pct12" w:color="auto" w:fill="auto"/>
          </w:tcPr>
          <w:p w:rsidR="007D438D" w:rsidRPr="00656472" w:rsidRDefault="007D438D" w:rsidP="003A2EE2">
            <w:pPr>
              <w:rPr>
                <w:rFonts w:ascii="Soberana Sans" w:hAnsi="Soberana Sans"/>
                <w:b/>
                <w:sz w:val="20"/>
                <w:szCs w:val="20"/>
              </w:rPr>
            </w:pPr>
          </w:p>
          <w:p w:rsidR="007D438D" w:rsidRDefault="007D438D" w:rsidP="003A2EE2">
            <w:pPr>
              <w:ind w:left="313"/>
              <w:jc w:val="center"/>
              <w:rPr>
                <w:rFonts w:ascii="Soberana Sans" w:hAnsi="Soberana Sans"/>
                <w:b/>
                <w:sz w:val="20"/>
                <w:szCs w:val="20"/>
              </w:rPr>
            </w:pPr>
            <w:r>
              <w:rPr>
                <w:rFonts w:ascii="Soberana Sans" w:hAnsi="Soberana Sans"/>
                <w:b/>
                <w:sz w:val="20"/>
                <w:szCs w:val="20"/>
              </w:rPr>
              <w:t xml:space="preserve">Respuesta a comentarios del OIC del proyecto de norma </w:t>
            </w:r>
          </w:p>
          <w:p w:rsidR="007D438D" w:rsidRPr="002C49DA" w:rsidRDefault="007D438D" w:rsidP="003A2EE2">
            <w:pPr>
              <w:ind w:left="313"/>
              <w:jc w:val="center"/>
              <w:rPr>
                <w:rFonts w:ascii="Soberana Sans" w:hAnsi="Soberana Sans"/>
                <w:b/>
                <w:sz w:val="20"/>
                <w:szCs w:val="20"/>
              </w:rPr>
            </w:pPr>
            <w:r w:rsidRPr="00241944">
              <w:rPr>
                <w:rFonts w:ascii="Soberana Sans" w:hAnsi="Soberana Sans"/>
                <w:b/>
                <w:sz w:val="20"/>
                <w:szCs w:val="20"/>
              </w:rPr>
              <w:t>“Lineamientos para la Eliminación, Permanencia, Actualización o Emisión de Normas Internas”</w:t>
            </w:r>
          </w:p>
        </w:tc>
      </w:tr>
    </w:tbl>
    <w:tbl>
      <w:tblPr>
        <w:tblStyle w:val="Tablaconcuadrcula"/>
        <w:tblW w:w="13893" w:type="dxa"/>
        <w:tblInd w:w="-318" w:type="dxa"/>
        <w:tblLayout w:type="fixed"/>
        <w:tblLook w:val="04A0" w:firstRow="1" w:lastRow="0" w:firstColumn="1" w:lastColumn="0" w:noHBand="0" w:noVBand="1"/>
      </w:tblPr>
      <w:tblGrid>
        <w:gridCol w:w="710"/>
        <w:gridCol w:w="3147"/>
        <w:gridCol w:w="4933"/>
        <w:gridCol w:w="5103"/>
      </w:tblGrid>
      <w:tr w:rsidR="006F44B0" w:rsidTr="003A2EE2">
        <w:trPr>
          <w:trHeight w:val="440"/>
          <w:tblHeader/>
        </w:trPr>
        <w:tc>
          <w:tcPr>
            <w:tcW w:w="710" w:type="dxa"/>
            <w:tcBorders>
              <w:top w:val="single" w:sz="4" w:space="0" w:color="auto"/>
              <w:left w:val="single" w:sz="4" w:space="0" w:color="auto"/>
              <w:bottom w:val="single" w:sz="4" w:space="0" w:color="auto"/>
              <w:right w:val="single" w:sz="4" w:space="0" w:color="auto"/>
            </w:tcBorders>
          </w:tcPr>
          <w:p w:rsidR="006F44B0" w:rsidRDefault="006F44B0" w:rsidP="00C07176">
            <w:pPr>
              <w:shd w:val="clear" w:color="auto" w:fill="FFFFFF" w:themeFill="background1"/>
              <w:jc w:val="center"/>
              <w:rPr>
                <w:rFonts w:ascii="Arial" w:hAnsi="Arial" w:cs="Arial"/>
                <w:b/>
                <w:sz w:val="20"/>
              </w:rPr>
            </w:pPr>
            <w:r>
              <w:rPr>
                <w:rFonts w:ascii="Arial" w:hAnsi="Arial" w:cs="Arial"/>
                <w:b/>
                <w:sz w:val="20"/>
              </w:rPr>
              <w:t>No.</w:t>
            </w:r>
          </w:p>
        </w:tc>
        <w:tc>
          <w:tcPr>
            <w:tcW w:w="3147" w:type="dxa"/>
            <w:tcBorders>
              <w:top w:val="single" w:sz="4" w:space="0" w:color="auto"/>
              <w:left w:val="single" w:sz="4" w:space="0" w:color="auto"/>
              <w:bottom w:val="single" w:sz="4" w:space="0" w:color="auto"/>
              <w:right w:val="single" w:sz="4" w:space="0" w:color="auto"/>
            </w:tcBorders>
          </w:tcPr>
          <w:p w:rsidR="006F44B0" w:rsidRDefault="006F44B0" w:rsidP="00C07176">
            <w:pPr>
              <w:shd w:val="clear" w:color="auto" w:fill="FFFFFF" w:themeFill="background1"/>
              <w:jc w:val="center"/>
              <w:rPr>
                <w:rFonts w:ascii="Arial" w:hAnsi="Arial" w:cs="Arial"/>
                <w:b/>
                <w:sz w:val="20"/>
              </w:rPr>
            </w:pPr>
            <w:r>
              <w:rPr>
                <w:rFonts w:ascii="Arial" w:hAnsi="Arial" w:cs="Arial"/>
                <w:b/>
                <w:sz w:val="20"/>
              </w:rPr>
              <w:t xml:space="preserve">Apartado </w:t>
            </w:r>
          </w:p>
        </w:tc>
        <w:tc>
          <w:tcPr>
            <w:tcW w:w="4933" w:type="dxa"/>
            <w:tcBorders>
              <w:top w:val="single" w:sz="4" w:space="0" w:color="auto"/>
              <w:left w:val="single" w:sz="4" w:space="0" w:color="auto"/>
              <w:bottom w:val="single" w:sz="4" w:space="0" w:color="auto"/>
              <w:right w:val="single" w:sz="4" w:space="0" w:color="auto"/>
            </w:tcBorders>
          </w:tcPr>
          <w:p w:rsidR="006F44B0" w:rsidRDefault="006F44B0" w:rsidP="00C07176">
            <w:pPr>
              <w:shd w:val="clear" w:color="auto" w:fill="FFFFFF" w:themeFill="background1"/>
              <w:jc w:val="center"/>
              <w:rPr>
                <w:rFonts w:ascii="Arial" w:hAnsi="Arial" w:cs="Arial"/>
                <w:b/>
                <w:sz w:val="20"/>
              </w:rPr>
            </w:pPr>
            <w:r>
              <w:rPr>
                <w:rFonts w:ascii="Arial" w:hAnsi="Arial" w:cs="Arial"/>
                <w:b/>
                <w:sz w:val="20"/>
              </w:rPr>
              <w:t xml:space="preserve">Respuesta OIC </w:t>
            </w:r>
          </w:p>
        </w:tc>
        <w:tc>
          <w:tcPr>
            <w:tcW w:w="5103" w:type="dxa"/>
            <w:tcBorders>
              <w:top w:val="single" w:sz="4" w:space="0" w:color="auto"/>
              <w:left w:val="single" w:sz="4" w:space="0" w:color="auto"/>
              <w:bottom w:val="single" w:sz="4" w:space="0" w:color="auto"/>
              <w:right w:val="single" w:sz="4" w:space="0" w:color="auto"/>
            </w:tcBorders>
          </w:tcPr>
          <w:p w:rsidR="006F44B0" w:rsidRDefault="006F44B0" w:rsidP="00C07176">
            <w:pPr>
              <w:shd w:val="clear" w:color="auto" w:fill="FFFFFF" w:themeFill="background1"/>
              <w:jc w:val="center"/>
              <w:rPr>
                <w:rFonts w:ascii="Arial" w:hAnsi="Arial" w:cs="Arial"/>
                <w:b/>
                <w:sz w:val="20"/>
              </w:rPr>
            </w:pPr>
            <w:r>
              <w:rPr>
                <w:rFonts w:ascii="Arial" w:hAnsi="Arial" w:cs="Arial"/>
                <w:b/>
                <w:sz w:val="20"/>
              </w:rPr>
              <w:t xml:space="preserve">Atención a Comentarios </w:t>
            </w:r>
          </w:p>
        </w:tc>
      </w:tr>
      <w:tr w:rsidR="006F44B0" w:rsidTr="003A2EE2">
        <w:trPr>
          <w:trHeight w:val="387"/>
        </w:trPr>
        <w:tc>
          <w:tcPr>
            <w:tcW w:w="710" w:type="dxa"/>
            <w:tcBorders>
              <w:top w:val="single" w:sz="4" w:space="0" w:color="auto"/>
              <w:left w:val="single" w:sz="4" w:space="0" w:color="auto"/>
              <w:bottom w:val="single" w:sz="4" w:space="0" w:color="auto"/>
              <w:right w:val="single" w:sz="4" w:space="0" w:color="auto"/>
            </w:tcBorders>
            <w:vAlign w:val="center"/>
            <w:hideMark/>
          </w:tcPr>
          <w:p w:rsidR="006F44B0" w:rsidRDefault="006F44B0">
            <w:pPr>
              <w:jc w:val="center"/>
              <w:rPr>
                <w:rFonts w:ascii="Arial" w:hAnsi="Arial" w:cs="Arial"/>
                <w:sz w:val="16"/>
                <w:szCs w:val="18"/>
              </w:rPr>
            </w:pPr>
            <w:r>
              <w:rPr>
                <w:rFonts w:ascii="Arial" w:hAnsi="Arial" w:cs="Arial"/>
                <w:sz w:val="16"/>
                <w:szCs w:val="18"/>
              </w:rPr>
              <w:t>5</w:t>
            </w:r>
          </w:p>
        </w:tc>
        <w:tc>
          <w:tcPr>
            <w:tcW w:w="3147" w:type="dxa"/>
            <w:tcBorders>
              <w:top w:val="single" w:sz="4" w:space="0" w:color="auto"/>
              <w:left w:val="single" w:sz="4" w:space="0" w:color="auto"/>
              <w:bottom w:val="single" w:sz="4" w:space="0" w:color="auto"/>
              <w:right w:val="single" w:sz="4" w:space="0" w:color="auto"/>
            </w:tcBorders>
            <w:vAlign w:val="center"/>
            <w:hideMark/>
          </w:tcPr>
          <w:p w:rsidR="006F44B0" w:rsidRDefault="006F44B0">
            <w:pPr>
              <w:pStyle w:val="Default"/>
              <w:rPr>
                <w:rFonts w:ascii="Soberana Sans" w:hAnsi="Soberana Sans"/>
                <w:b/>
                <w:bCs/>
                <w:sz w:val="16"/>
                <w:szCs w:val="18"/>
              </w:rPr>
            </w:pPr>
            <w:r>
              <w:rPr>
                <w:rFonts w:ascii="Soberana Sans" w:hAnsi="Soberana Sans"/>
                <w:b/>
                <w:bCs/>
                <w:sz w:val="16"/>
                <w:szCs w:val="18"/>
              </w:rPr>
              <w:t>4. Definiciones</w:t>
            </w:r>
            <w:r>
              <w:rPr>
                <w:rFonts w:ascii="Soberana Sans" w:hAnsi="Soberana Sans" w:cs="Times New Roman"/>
                <w:sz w:val="16"/>
                <w:szCs w:val="18"/>
              </w:rPr>
              <w:t xml:space="preserve"> </w:t>
            </w:r>
          </w:p>
        </w:tc>
        <w:tc>
          <w:tcPr>
            <w:tcW w:w="4933" w:type="dxa"/>
            <w:tcBorders>
              <w:top w:val="single" w:sz="4" w:space="0" w:color="auto"/>
              <w:left w:val="single" w:sz="4" w:space="0" w:color="auto"/>
              <w:bottom w:val="single" w:sz="4" w:space="0" w:color="auto"/>
              <w:right w:val="single" w:sz="4" w:space="0" w:color="auto"/>
            </w:tcBorders>
          </w:tcPr>
          <w:p w:rsidR="006F44B0" w:rsidRPr="00CC48D2" w:rsidRDefault="006F44B0" w:rsidP="007D438D">
            <w:pPr>
              <w:jc w:val="both"/>
              <w:rPr>
                <w:b/>
                <w:sz w:val="16"/>
                <w:szCs w:val="18"/>
              </w:rPr>
            </w:pPr>
            <w:r w:rsidRPr="00CC48D2">
              <w:rPr>
                <w:b/>
                <w:sz w:val="16"/>
                <w:szCs w:val="18"/>
              </w:rPr>
              <w:t xml:space="preserve">Unidad Administrativa Emisora (UAE): </w:t>
            </w:r>
          </w:p>
          <w:p w:rsidR="006F44B0" w:rsidRDefault="006F44B0" w:rsidP="007D438D">
            <w:pPr>
              <w:jc w:val="both"/>
              <w:rPr>
                <w:b/>
                <w:sz w:val="16"/>
                <w:szCs w:val="18"/>
              </w:rPr>
            </w:pPr>
            <w:r>
              <w:rPr>
                <w:sz w:val="16"/>
                <w:szCs w:val="18"/>
              </w:rPr>
              <w:t xml:space="preserve">Existen Unidades Administrativas que pueden proponer y emitir Normas, como el caso de la DGAF, DGAC, </w:t>
            </w:r>
            <w:r w:rsidRPr="003A2EE2">
              <w:rPr>
                <w:sz w:val="16"/>
                <w:szCs w:val="18"/>
              </w:rPr>
              <w:t>entre otros.</w:t>
            </w:r>
            <w:r w:rsidRPr="00CC48D2">
              <w:rPr>
                <w:b/>
                <w:sz w:val="16"/>
                <w:szCs w:val="18"/>
              </w:rPr>
              <w:t xml:space="preserve"> </w:t>
            </w:r>
          </w:p>
          <w:p w:rsidR="00887887" w:rsidRPr="00CC48D2" w:rsidRDefault="00887887" w:rsidP="007D438D">
            <w:pPr>
              <w:jc w:val="both"/>
              <w:rPr>
                <w:b/>
                <w:sz w:val="16"/>
                <w:szCs w:val="18"/>
              </w:rPr>
            </w:pPr>
          </w:p>
          <w:p w:rsidR="006F44B0" w:rsidRPr="00CC48D2" w:rsidRDefault="006F44B0" w:rsidP="007D438D">
            <w:pPr>
              <w:jc w:val="both"/>
              <w:rPr>
                <w:b/>
                <w:sz w:val="16"/>
                <w:szCs w:val="18"/>
              </w:rPr>
            </w:pPr>
            <w:r w:rsidRPr="00CC48D2">
              <w:rPr>
                <w:b/>
                <w:sz w:val="16"/>
                <w:szCs w:val="18"/>
              </w:rPr>
              <w:t>Grupo de Interés (GI):</w:t>
            </w:r>
          </w:p>
          <w:p w:rsidR="006F44B0" w:rsidRDefault="00CC48D2" w:rsidP="007D438D">
            <w:pPr>
              <w:jc w:val="both"/>
              <w:rPr>
                <w:sz w:val="16"/>
                <w:szCs w:val="18"/>
              </w:rPr>
            </w:pPr>
            <w:r>
              <w:rPr>
                <w:sz w:val="16"/>
                <w:szCs w:val="18"/>
              </w:rPr>
              <w:t>No se indica en que parte del proceso emitirá su opinión.</w:t>
            </w:r>
            <w:r w:rsidR="006F44B0">
              <w:rPr>
                <w:sz w:val="16"/>
                <w:szCs w:val="18"/>
              </w:rPr>
              <w:t xml:space="preserve"> </w:t>
            </w:r>
          </w:p>
        </w:tc>
        <w:tc>
          <w:tcPr>
            <w:tcW w:w="5103" w:type="dxa"/>
            <w:tcBorders>
              <w:top w:val="single" w:sz="4" w:space="0" w:color="auto"/>
              <w:left w:val="single" w:sz="4" w:space="0" w:color="auto"/>
              <w:bottom w:val="single" w:sz="4" w:space="0" w:color="auto"/>
              <w:right w:val="single" w:sz="4" w:space="0" w:color="auto"/>
            </w:tcBorders>
          </w:tcPr>
          <w:p w:rsidR="003A2EE2" w:rsidRDefault="006F44B0" w:rsidP="007D438D">
            <w:pPr>
              <w:jc w:val="both"/>
              <w:rPr>
                <w:sz w:val="16"/>
                <w:szCs w:val="18"/>
              </w:rPr>
            </w:pPr>
            <w:r>
              <w:rPr>
                <w:sz w:val="16"/>
                <w:szCs w:val="18"/>
              </w:rPr>
              <w:t>-</w:t>
            </w:r>
            <w:r w:rsidR="00302084">
              <w:rPr>
                <w:sz w:val="16"/>
                <w:szCs w:val="18"/>
              </w:rPr>
              <w:t>No se considera poner dentro de la definición el término “proponer”, e</w:t>
            </w:r>
            <w:r w:rsidR="00471FE5">
              <w:rPr>
                <w:sz w:val="16"/>
                <w:szCs w:val="18"/>
              </w:rPr>
              <w:t xml:space="preserve">n el entendido de que una UA puede ser emisora y promovente a la vez, se determinó que el significado se diferencie entre emitir y proponer, por lo que la UA tendrá el rol según sea el caso. </w:t>
            </w:r>
          </w:p>
          <w:p w:rsidR="00887887" w:rsidRDefault="00887887" w:rsidP="007D438D">
            <w:pPr>
              <w:jc w:val="both"/>
              <w:rPr>
                <w:sz w:val="16"/>
                <w:szCs w:val="18"/>
              </w:rPr>
            </w:pPr>
          </w:p>
          <w:p w:rsidR="00302084" w:rsidRDefault="007A7C15" w:rsidP="00DA36A8">
            <w:pPr>
              <w:jc w:val="both"/>
              <w:rPr>
                <w:sz w:val="16"/>
                <w:szCs w:val="18"/>
              </w:rPr>
            </w:pPr>
            <w:r>
              <w:rPr>
                <w:sz w:val="16"/>
                <w:szCs w:val="18"/>
              </w:rPr>
              <w:t>-</w:t>
            </w:r>
            <w:r w:rsidR="00302084">
              <w:rPr>
                <w:sz w:val="16"/>
                <w:szCs w:val="18"/>
              </w:rPr>
              <w:t>Atendido. Se incorporó el siguiente párrafo en la etapa de Revisión:</w:t>
            </w:r>
          </w:p>
          <w:p w:rsidR="006F44B0" w:rsidRPr="00302084" w:rsidRDefault="007A7C15" w:rsidP="00302084">
            <w:pPr>
              <w:jc w:val="both"/>
              <w:rPr>
                <w:i/>
                <w:sz w:val="16"/>
                <w:szCs w:val="18"/>
              </w:rPr>
            </w:pPr>
            <w:r>
              <w:rPr>
                <w:sz w:val="16"/>
                <w:szCs w:val="18"/>
              </w:rPr>
              <w:t xml:space="preserve"> </w:t>
            </w:r>
            <w:r w:rsidR="00302084" w:rsidRPr="00302084">
              <w:rPr>
                <w:i/>
                <w:sz w:val="16"/>
                <w:szCs w:val="18"/>
              </w:rPr>
              <w:t xml:space="preserve">La UAE o la UAP será la responsable de solicitar al Grupo de Interés envíen sus opiniones y comentarios al correo electrónico de la </w:t>
            </w:r>
            <w:proofErr w:type="spellStart"/>
            <w:r w:rsidR="00302084" w:rsidRPr="00302084">
              <w:rPr>
                <w:i/>
                <w:sz w:val="16"/>
                <w:szCs w:val="18"/>
              </w:rPr>
              <w:t>Normateca</w:t>
            </w:r>
            <w:proofErr w:type="spellEnd"/>
            <w:r w:rsidR="00302084" w:rsidRPr="00302084">
              <w:rPr>
                <w:i/>
                <w:sz w:val="16"/>
                <w:szCs w:val="18"/>
              </w:rPr>
              <w:t xml:space="preserve"> Interna (normatecainterna@sct.gob.mx) respecto al documento o documentos en proceso de revisión, a fin de que la DGPOP los incorpore en el portal de la </w:t>
            </w:r>
            <w:proofErr w:type="spellStart"/>
            <w:r w:rsidR="00302084" w:rsidRPr="00302084">
              <w:rPr>
                <w:i/>
                <w:sz w:val="16"/>
                <w:szCs w:val="18"/>
              </w:rPr>
              <w:t>Normateca</w:t>
            </w:r>
            <w:proofErr w:type="spellEnd"/>
            <w:r w:rsidR="00302084" w:rsidRPr="00302084">
              <w:rPr>
                <w:i/>
                <w:sz w:val="16"/>
                <w:szCs w:val="18"/>
              </w:rPr>
              <w:t xml:space="preserve"> Interna.</w:t>
            </w:r>
          </w:p>
        </w:tc>
      </w:tr>
      <w:tr w:rsidR="006F44B0" w:rsidTr="003A2EE2">
        <w:trPr>
          <w:trHeight w:val="681"/>
        </w:trPr>
        <w:tc>
          <w:tcPr>
            <w:tcW w:w="710" w:type="dxa"/>
            <w:tcBorders>
              <w:top w:val="single" w:sz="4" w:space="0" w:color="auto"/>
              <w:left w:val="single" w:sz="4" w:space="0" w:color="auto"/>
              <w:bottom w:val="single" w:sz="4" w:space="0" w:color="auto"/>
              <w:right w:val="single" w:sz="4" w:space="0" w:color="auto"/>
            </w:tcBorders>
            <w:vAlign w:val="center"/>
            <w:hideMark/>
          </w:tcPr>
          <w:p w:rsidR="006F44B0" w:rsidRDefault="006F44B0">
            <w:pPr>
              <w:jc w:val="center"/>
              <w:rPr>
                <w:rFonts w:ascii="Arial" w:hAnsi="Arial" w:cs="Arial"/>
                <w:sz w:val="16"/>
                <w:szCs w:val="18"/>
              </w:rPr>
            </w:pPr>
            <w:r>
              <w:rPr>
                <w:rFonts w:ascii="Arial" w:hAnsi="Arial" w:cs="Arial"/>
                <w:sz w:val="16"/>
                <w:szCs w:val="18"/>
              </w:rPr>
              <w:t>6</w:t>
            </w:r>
          </w:p>
        </w:tc>
        <w:tc>
          <w:tcPr>
            <w:tcW w:w="3147" w:type="dxa"/>
            <w:tcBorders>
              <w:top w:val="single" w:sz="4" w:space="0" w:color="auto"/>
              <w:left w:val="single" w:sz="4" w:space="0" w:color="auto"/>
              <w:bottom w:val="single" w:sz="4" w:space="0" w:color="auto"/>
              <w:right w:val="single" w:sz="4" w:space="0" w:color="auto"/>
            </w:tcBorders>
            <w:vAlign w:val="center"/>
            <w:hideMark/>
          </w:tcPr>
          <w:p w:rsidR="006F44B0" w:rsidRDefault="006F44B0">
            <w:pPr>
              <w:pStyle w:val="Default"/>
              <w:rPr>
                <w:rFonts w:ascii="Soberana Sans" w:hAnsi="Soberana Sans"/>
                <w:b/>
                <w:bCs/>
                <w:sz w:val="16"/>
                <w:szCs w:val="18"/>
              </w:rPr>
            </w:pPr>
            <w:r>
              <w:rPr>
                <w:rFonts w:ascii="Soberana Sans" w:hAnsi="Soberana Sans"/>
                <w:b/>
                <w:bCs/>
                <w:sz w:val="16"/>
                <w:szCs w:val="18"/>
              </w:rPr>
              <w:t>5. Disposiciones generales</w:t>
            </w:r>
          </w:p>
        </w:tc>
        <w:tc>
          <w:tcPr>
            <w:tcW w:w="4933" w:type="dxa"/>
            <w:tcBorders>
              <w:top w:val="single" w:sz="4" w:space="0" w:color="auto"/>
              <w:left w:val="single" w:sz="4" w:space="0" w:color="auto"/>
              <w:bottom w:val="single" w:sz="4" w:space="0" w:color="auto"/>
              <w:right w:val="single" w:sz="4" w:space="0" w:color="auto"/>
            </w:tcBorders>
          </w:tcPr>
          <w:p w:rsidR="003A2EE2" w:rsidRDefault="003A2EE2" w:rsidP="007D438D">
            <w:pPr>
              <w:jc w:val="both"/>
              <w:rPr>
                <w:sz w:val="16"/>
                <w:szCs w:val="18"/>
              </w:rPr>
            </w:pPr>
            <w:r>
              <w:rPr>
                <w:sz w:val="16"/>
                <w:szCs w:val="18"/>
              </w:rPr>
              <w:t>- Se sugiere modificar el título a proceso de mejora regulatoria interno.</w:t>
            </w:r>
          </w:p>
          <w:p w:rsidR="003A2EE2" w:rsidRDefault="003A2EE2" w:rsidP="007D438D">
            <w:pPr>
              <w:jc w:val="both"/>
              <w:rPr>
                <w:sz w:val="16"/>
                <w:szCs w:val="18"/>
              </w:rPr>
            </w:pPr>
          </w:p>
          <w:p w:rsidR="009A52F9" w:rsidRDefault="009A52F9" w:rsidP="007D438D">
            <w:pPr>
              <w:jc w:val="both"/>
              <w:rPr>
                <w:sz w:val="16"/>
                <w:szCs w:val="18"/>
              </w:rPr>
            </w:pPr>
          </w:p>
          <w:p w:rsidR="009A52F9" w:rsidRDefault="009A52F9" w:rsidP="007D438D">
            <w:pPr>
              <w:jc w:val="both"/>
              <w:rPr>
                <w:sz w:val="16"/>
                <w:szCs w:val="18"/>
              </w:rPr>
            </w:pPr>
          </w:p>
          <w:p w:rsidR="009A52F9" w:rsidRDefault="009A52F9" w:rsidP="007D438D">
            <w:pPr>
              <w:jc w:val="both"/>
              <w:rPr>
                <w:sz w:val="16"/>
                <w:szCs w:val="18"/>
              </w:rPr>
            </w:pPr>
          </w:p>
          <w:p w:rsidR="009A52F9" w:rsidRDefault="009A52F9" w:rsidP="007D438D">
            <w:pPr>
              <w:jc w:val="both"/>
              <w:rPr>
                <w:sz w:val="16"/>
                <w:szCs w:val="18"/>
              </w:rPr>
            </w:pPr>
          </w:p>
          <w:p w:rsidR="006F44B0" w:rsidRDefault="003A2EE2" w:rsidP="007D438D">
            <w:pPr>
              <w:jc w:val="both"/>
              <w:rPr>
                <w:sz w:val="16"/>
                <w:szCs w:val="18"/>
              </w:rPr>
            </w:pPr>
            <w:r>
              <w:rPr>
                <w:sz w:val="16"/>
                <w:szCs w:val="18"/>
              </w:rPr>
              <w:t xml:space="preserve">- </w:t>
            </w:r>
            <w:proofErr w:type="spellStart"/>
            <w:r>
              <w:rPr>
                <w:sz w:val="16"/>
                <w:szCs w:val="18"/>
              </w:rPr>
              <w:t>Aperturar</w:t>
            </w:r>
            <w:proofErr w:type="spellEnd"/>
            <w:r>
              <w:rPr>
                <w:sz w:val="16"/>
                <w:szCs w:val="18"/>
              </w:rPr>
              <w:t xml:space="preserve"> un numeral con el tema de Planeación. </w:t>
            </w:r>
          </w:p>
          <w:p w:rsidR="003A2EE2" w:rsidRDefault="003A2EE2" w:rsidP="007D438D">
            <w:pPr>
              <w:jc w:val="both"/>
              <w:rPr>
                <w:sz w:val="16"/>
                <w:szCs w:val="18"/>
              </w:rPr>
            </w:pPr>
          </w:p>
          <w:p w:rsidR="00AB6A5F" w:rsidRDefault="00AB6A5F" w:rsidP="007D438D">
            <w:pPr>
              <w:jc w:val="both"/>
              <w:rPr>
                <w:sz w:val="16"/>
                <w:szCs w:val="18"/>
              </w:rPr>
            </w:pPr>
          </w:p>
          <w:p w:rsidR="00AB6A5F" w:rsidRDefault="00AB6A5F" w:rsidP="007D438D">
            <w:pPr>
              <w:jc w:val="both"/>
              <w:rPr>
                <w:sz w:val="16"/>
                <w:szCs w:val="18"/>
              </w:rPr>
            </w:pPr>
          </w:p>
          <w:p w:rsidR="00AB6A5F" w:rsidRDefault="00AB6A5F" w:rsidP="007D438D">
            <w:pPr>
              <w:jc w:val="both"/>
              <w:rPr>
                <w:sz w:val="16"/>
                <w:szCs w:val="18"/>
              </w:rPr>
            </w:pPr>
          </w:p>
          <w:p w:rsidR="003A2EE2" w:rsidRDefault="003A2EE2" w:rsidP="007D438D">
            <w:pPr>
              <w:jc w:val="both"/>
              <w:rPr>
                <w:sz w:val="16"/>
                <w:szCs w:val="18"/>
              </w:rPr>
            </w:pPr>
            <w:r>
              <w:rPr>
                <w:sz w:val="16"/>
                <w:szCs w:val="18"/>
              </w:rPr>
              <w:t xml:space="preserve">- Se sugiere reconsiderar el nivel mínimo de responsabilidad del ENLACE. Esto no concebido como una limitante sino como un elemento que garantice un nivel mínimo de calidad </w:t>
            </w:r>
            <w:r w:rsidR="00370C82">
              <w:rPr>
                <w:sz w:val="16"/>
                <w:szCs w:val="18"/>
              </w:rPr>
              <w:t xml:space="preserve">en el proceso de MRI. </w:t>
            </w:r>
          </w:p>
          <w:p w:rsidR="003129B3" w:rsidRDefault="003129B3" w:rsidP="007D438D">
            <w:pPr>
              <w:jc w:val="both"/>
              <w:rPr>
                <w:sz w:val="16"/>
                <w:szCs w:val="18"/>
              </w:rPr>
            </w:pPr>
          </w:p>
          <w:p w:rsidR="003129B3" w:rsidRDefault="003129B3" w:rsidP="007D438D">
            <w:pPr>
              <w:jc w:val="both"/>
              <w:rPr>
                <w:sz w:val="16"/>
                <w:szCs w:val="18"/>
              </w:rPr>
            </w:pPr>
            <w:r>
              <w:rPr>
                <w:sz w:val="16"/>
                <w:szCs w:val="18"/>
              </w:rPr>
              <w:t xml:space="preserve">- </w:t>
            </w:r>
            <w:r w:rsidR="00832117">
              <w:rPr>
                <w:sz w:val="16"/>
                <w:szCs w:val="18"/>
              </w:rPr>
              <w:t>El documento menciona “</w:t>
            </w:r>
            <w:r w:rsidR="00832117" w:rsidRPr="00832117">
              <w:rPr>
                <w:sz w:val="16"/>
                <w:szCs w:val="18"/>
              </w:rPr>
              <w:t>Para su elaboración, la DGPOP deberá revisar el inventario de las normas internas, seleccionar las que son susceptibles de simplificación y propondrá un anteproyecto de PTRNI que será enviado al Grupo de Trabajo para que de manera conjunta se defina el calendario y las normas que estarán sujet</w:t>
            </w:r>
            <w:r w:rsidR="00832117">
              <w:rPr>
                <w:sz w:val="16"/>
                <w:szCs w:val="18"/>
              </w:rPr>
              <w:t>as al proceso de simplificación”. Por lo tanto, se entiende que dicho anteproyecto no cuenta aún con las solicitudes de revisión de las UA. En este sentido los criterios que se proponen son, al menos, los siguientes:</w:t>
            </w:r>
          </w:p>
          <w:p w:rsidR="00832117" w:rsidRDefault="00832117" w:rsidP="00832117">
            <w:pPr>
              <w:pStyle w:val="Prrafodelista"/>
              <w:numPr>
                <w:ilvl w:val="0"/>
                <w:numId w:val="1"/>
              </w:numPr>
              <w:jc w:val="both"/>
              <w:rPr>
                <w:sz w:val="16"/>
                <w:szCs w:val="18"/>
              </w:rPr>
            </w:pPr>
            <w:r>
              <w:rPr>
                <w:sz w:val="16"/>
                <w:szCs w:val="18"/>
              </w:rPr>
              <w:lastRenderedPageBreak/>
              <w:t>Vigencia</w:t>
            </w:r>
          </w:p>
          <w:p w:rsidR="00832117" w:rsidRDefault="00832117" w:rsidP="00832117">
            <w:pPr>
              <w:pStyle w:val="Prrafodelista"/>
              <w:numPr>
                <w:ilvl w:val="0"/>
                <w:numId w:val="1"/>
              </w:numPr>
              <w:jc w:val="both"/>
              <w:rPr>
                <w:sz w:val="16"/>
                <w:szCs w:val="18"/>
              </w:rPr>
            </w:pPr>
            <w:r>
              <w:rPr>
                <w:sz w:val="16"/>
                <w:szCs w:val="18"/>
              </w:rPr>
              <w:t>Fundamentación</w:t>
            </w:r>
          </w:p>
          <w:p w:rsidR="00832117" w:rsidRDefault="00832117" w:rsidP="00832117">
            <w:pPr>
              <w:pStyle w:val="Prrafodelista"/>
              <w:numPr>
                <w:ilvl w:val="0"/>
                <w:numId w:val="1"/>
              </w:numPr>
              <w:jc w:val="both"/>
              <w:rPr>
                <w:sz w:val="16"/>
                <w:szCs w:val="18"/>
              </w:rPr>
            </w:pPr>
            <w:r>
              <w:rPr>
                <w:sz w:val="16"/>
                <w:szCs w:val="18"/>
              </w:rPr>
              <w:t>Motivación</w:t>
            </w:r>
          </w:p>
          <w:p w:rsidR="00832117" w:rsidRDefault="00832117" w:rsidP="00832117">
            <w:pPr>
              <w:pStyle w:val="Prrafodelista"/>
              <w:numPr>
                <w:ilvl w:val="0"/>
                <w:numId w:val="1"/>
              </w:numPr>
              <w:jc w:val="both"/>
              <w:rPr>
                <w:sz w:val="16"/>
                <w:szCs w:val="18"/>
              </w:rPr>
            </w:pPr>
            <w:r>
              <w:rPr>
                <w:sz w:val="16"/>
                <w:szCs w:val="18"/>
              </w:rPr>
              <w:t xml:space="preserve">Desregulación </w:t>
            </w:r>
          </w:p>
          <w:p w:rsidR="00832117" w:rsidRDefault="00832117" w:rsidP="00832117">
            <w:pPr>
              <w:pStyle w:val="Prrafodelista"/>
              <w:numPr>
                <w:ilvl w:val="0"/>
                <w:numId w:val="1"/>
              </w:numPr>
              <w:jc w:val="both"/>
              <w:rPr>
                <w:sz w:val="16"/>
                <w:szCs w:val="18"/>
              </w:rPr>
            </w:pPr>
            <w:r>
              <w:rPr>
                <w:sz w:val="16"/>
                <w:szCs w:val="18"/>
              </w:rPr>
              <w:t xml:space="preserve">Consolidación </w:t>
            </w:r>
          </w:p>
          <w:p w:rsidR="00832117" w:rsidRDefault="00832117" w:rsidP="00832117">
            <w:pPr>
              <w:pStyle w:val="Prrafodelista"/>
              <w:numPr>
                <w:ilvl w:val="0"/>
                <w:numId w:val="1"/>
              </w:numPr>
              <w:jc w:val="both"/>
              <w:rPr>
                <w:sz w:val="16"/>
                <w:szCs w:val="18"/>
              </w:rPr>
            </w:pPr>
            <w:r>
              <w:rPr>
                <w:sz w:val="16"/>
                <w:szCs w:val="18"/>
              </w:rPr>
              <w:t xml:space="preserve">Actualización </w:t>
            </w:r>
          </w:p>
          <w:p w:rsidR="00602A95" w:rsidRDefault="00832117" w:rsidP="00832117">
            <w:pPr>
              <w:jc w:val="both"/>
              <w:rPr>
                <w:sz w:val="16"/>
                <w:szCs w:val="18"/>
              </w:rPr>
            </w:pPr>
            <w:r>
              <w:rPr>
                <w:sz w:val="16"/>
                <w:szCs w:val="18"/>
              </w:rPr>
              <w:t>De este modo, la DGPOP tendría fundamento para seleccionar aquellas NI, contenidas en el inventario</w:t>
            </w:r>
            <w:r w:rsidR="00FA0499">
              <w:rPr>
                <w:sz w:val="16"/>
                <w:szCs w:val="18"/>
              </w:rPr>
              <w:t>,</w:t>
            </w:r>
            <w:r>
              <w:rPr>
                <w:sz w:val="16"/>
                <w:szCs w:val="18"/>
              </w:rPr>
              <w:t xml:space="preserve"> que requieran</w:t>
            </w:r>
            <w:r w:rsidR="00FA0499">
              <w:rPr>
                <w:sz w:val="16"/>
                <w:szCs w:val="18"/>
              </w:rPr>
              <w:t xml:space="preserve"> ser incluidas en el proceso de MRI. De otra forma, se estaría limitando la actuación de la DGPOP a las solicitudes. </w:t>
            </w:r>
          </w:p>
          <w:p w:rsidR="00832117" w:rsidRPr="00832117" w:rsidRDefault="00832117" w:rsidP="00832117">
            <w:pPr>
              <w:jc w:val="both"/>
              <w:rPr>
                <w:sz w:val="16"/>
                <w:szCs w:val="18"/>
              </w:rPr>
            </w:pPr>
            <w:r>
              <w:rPr>
                <w:sz w:val="16"/>
                <w:szCs w:val="18"/>
              </w:rPr>
              <w:t xml:space="preserve"> </w:t>
            </w:r>
            <w:r w:rsidRPr="00832117">
              <w:rPr>
                <w:sz w:val="16"/>
                <w:szCs w:val="18"/>
              </w:rPr>
              <w:t xml:space="preserve"> </w:t>
            </w:r>
          </w:p>
        </w:tc>
        <w:tc>
          <w:tcPr>
            <w:tcW w:w="5103" w:type="dxa"/>
            <w:tcBorders>
              <w:top w:val="single" w:sz="4" w:space="0" w:color="auto"/>
              <w:left w:val="single" w:sz="4" w:space="0" w:color="auto"/>
              <w:bottom w:val="single" w:sz="4" w:space="0" w:color="auto"/>
              <w:right w:val="single" w:sz="4" w:space="0" w:color="auto"/>
            </w:tcBorders>
          </w:tcPr>
          <w:p w:rsidR="006F44B0" w:rsidRDefault="00DA36A8" w:rsidP="007D438D">
            <w:pPr>
              <w:jc w:val="both"/>
              <w:rPr>
                <w:sz w:val="16"/>
                <w:szCs w:val="18"/>
              </w:rPr>
            </w:pPr>
            <w:r>
              <w:rPr>
                <w:sz w:val="16"/>
                <w:szCs w:val="18"/>
              </w:rPr>
              <w:lastRenderedPageBreak/>
              <w:t xml:space="preserve">- No se considera el cambio, ya que si se pone el título de </w:t>
            </w:r>
            <w:r w:rsidRPr="00DA36A8">
              <w:rPr>
                <w:sz w:val="16"/>
                <w:szCs w:val="18"/>
              </w:rPr>
              <w:t>proce</w:t>
            </w:r>
            <w:r>
              <w:rPr>
                <w:sz w:val="16"/>
                <w:szCs w:val="18"/>
              </w:rPr>
              <w:t>so de mejora regulatoria interna, se estaría quitando estructura al documento “Lineamientos”</w:t>
            </w:r>
            <w:r w:rsidR="009A52F9">
              <w:rPr>
                <w:sz w:val="16"/>
                <w:szCs w:val="18"/>
              </w:rPr>
              <w:t>, de acuerdo a la guía para emitir documentos normativos de la Se</w:t>
            </w:r>
            <w:r w:rsidR="00F826E4">
              <w:rPr>
                <w:sz w:val="16"/>
                <w:szCs w:val="18"/>
              </w:rPr>
              <w:t xml:space="preserve">cretaría de la Función Pública y se estaría convirtiendo en un Manual de Procesos y/o Procedimientos. </w:t>
            </w:r>
          </w:p>
          <w:p w:rsidR="00D24A70" w:rsidRDefault="00D24A70" w:rsidP="007D438D">
            <w:pPr>
              <w:jc w:val="both"/>
              <w:rPr>
                <w:sz w:val="16"/>
                <w:szCs w:val="18"/>
              </w:rPr>
            </w:pPr>
          </w:p>
          <w:p w:rsidR="00D24A70" w:rsidRDefault="00D24A70" w:rsidP="007D438D">
            <w:pPr>
              <w:jc w:val="both"/>
              <w:rPr>
                <w:sz w:val="16"/>
                <w:szCs w:val="18"/>
              </w:rPr>
            </w:pPr>
            <w:r w:rsidRPr="00AB6A5F">
              <w:rPr>
                <w:sz w:val="16"/>
                <w:szCs w:val="18"/>
              </w:rPr>
              <w:t xml:space="preserve">- </w:t>
            </w:r>
            <w:r w:rsidR="00CD3AEB">
              <w:rPr>
                <w:sz w:val="16"/>
                <w:szCs w:val="18"/>
              </w:rPr>
              <w:t>Atendido</w:t>
            </w:r>
            <w:r w:rsidR="00AB6A5F">
              <w:rPr>
                <w:sz w:val="16"/>
                <w:szCs w:val="18"/>
              </w:rPr>
              <w:t xml:space="preserve"> </w:t>
            </w:r>
          </w:p>
          <w:p w:rsidR="00D24A70" w:rsidRDefault="00D24A70" w:rsidP="007D438D">
            <w:pPr>
              <w:jc w:val="both"/>
              <w:rPr>
                <w:sz w:val="16"/>
                <w:szCs w:val="18"/>
              </w:rPr>
            </w:pPr>
          </w:p>
          <w:p w:rsidR="00CD3AEB" w:rsidRDefault="00CD3AEB" w:rsidP="007D438D">
            <w:pPr>
              <w:jc w:val="both"/>
              <w:rPr>
                <w:sz w:val="16"/>
                <w:szCs w:val="18"/>
              </w:rPr>
            </w:pPr>
          </w:p>
          <w:p w:rsidR="00CD3AEB" w:rsidRDefault="00CD3AEB" w:rsidP="007D438D">
            <w:pPr>
              <w:jc w:val="both"/>
              <w:rPr>
                <w:sz w:val="16"/>
                <w:szCs w:val="18"/>
              </w:rPr>
            </w:pPr>
          </w:p>
          <w:p w:rsidR="00CD3AEB" w:rsidRDefault="00CD3AEB" w:rsidP="007D438D">
            <w:pPr>
              <w:jc w:val="both"/>
              <w:rPr>
                <w:sz w:val="16"/>
                <w:szCs w:val="18"/>
              </w:rPr>
            </w:pPr>
          </w:p>
          <w:p w:rsidR="00301329" w:rsidRDefault="00301329" w:rsidP="007D438D">
            <w:pPr>
              <w:jc w:val="both"/>
              <w:rPr>
                <w:sz w:val="16"/>
                <w:szCs w:val="18"/>
              </w:rPr>
            </w:pPr>
            <w:r>
              <w:rPr>
                <w:sz w:val="16"/>
                <w:szCs w:val="18"/>
              </w:rPr>
              <w:t xml:space="preserve">- Atendido. </w:t>
            </w:r>
            <w:r w:rsidR="00302084">
              <w:rPr>
                <w:sz w:val="16"/>
                <w:szCs w:val="18"/>
              </w:rPr>
              <w:t>Se consideró la propuesta del OIC de que el nivel para los enlaces se</w:t>
            </w:r>
            <w:r w:rsidR="00C64C2B">
              <w:rPr>
                <w:sz w:val="16"/>
                <w:szCs w:val="18"/>
              </w:rPr>
              <w:t>a</w:t>
            </w:r>
            <w:r w:rsidR="00302084">
              <w:rPr>
                <w:sz w:val="16"/>
                <w:szCs w:val="18"/>
              </w:rPr>
              <w:t xml:space="preserve"> Direc</w:t>
            </w:r>
            <w:r w:rsidR="00447CDD">
              <w:rPr>
                <w:sz w:val="16"/>
                <w:szCs w:val="18"/>
              </w:rPr>
              <w:t xml:space="preserve">ción </w:t>
            </w:r>
            <w:r w:rsidR="00C64C2B">
              <w:rPr>
                <w:sz w:val="16"/>
                <w:szCs w:val="18"/>
              </w:rPr>
              <w:t xml:space="preserve">de Área, por lo que se </w:t>
            </w:r>
            <w:r w:rsidR="00302084">
              <w:rPr>
                <w:sz w:val="16"/>
                <w:szCs w:val="18"/>
              </w:rPr>
              <w:t>incorporó al documento.</w:t>
            </w:r>
          </w:p>
          <w:p w:rsidR="00301329" w:rsidRDefault="00301329" w:rsidP="00301329">
            <w:pPr>
              <w:rPr>
                <w:sz w:val="16"/>
                <w:szCs w:val="18"/>
              </w:rPr>
            </w:pPr>
          </w:p>
          <w:p w:rsidR="00301329" w:rsidRDefault="00301329" w:rsidP="00301329">
            <w:pPr>
              <w:rPr>
                <w:sz w:val="16"/>
                <w:szCs w:val="18"/>
              </w:rPr>
            </w:pPr>
          </w:p>
          <w:p w:rsidR="00447CDD" w:rsidRDefault="00301329" w:rsidP="00447CDD">
            <w:pPr>
              <w:jc w:val="both"/>
              <w:rPr>
                <w:sz w:val="16"/>
                <w:szCs w:val="18"/>
              </w:rPr>
            </w:pPr>
            <w:r>
              <w:rPr>
                <w:sz w:val="16"/>
                <w:szCs w:val="18"/>
              </w:rPr>
              <w:t xml:space="preserve">- </w:t>
            </w:r>
            <w:r w:rsidR="00C64C2B">
              <w:rPr>
                <w:sz w:val="16"/>
                <w:szCs w:val="18"/>
              </w:rPr>
              <w:t>Atendido</w:t>
            </w:r>
            <w:r w:rsidR="00C07176">
              <w:rPr>
                <w:sz w:val="16"/>
                <w:szCs w:val="18"/>
              </w:rPr>
              <w:t>.</w:t>
            </w:r>
            <w:r w:rsidR="00447CDD">
              <w:rPr>
                <w:sz w:val="16"/>
                <w:szCs w:val="18"/>
              </w:rPr>
              <w:t xml:space="preserve"> </w:t>
            </w:r>
            <w:r w:rsidR="00C07176">
              <w:rPr>
                <w:sz w:val="16"/>
                <w:szCs w:val="18"/>
              </w:rPr>
              <w:t>S</w:t>
            </w:r>
            <w:r w:rsidR="00447CDD">
              <w:rPr>
                <w:sz w:val="16"/>
                <w:szCs w:val="18"/>
              </w:rPr>
              <w:t>e modificó la tercera disposición a fin de incorporar las solicitudes de las UAE y UAP en la planeación del PTRNI.</w:t>
            </w:r>
          </w:p>
          <w:p w:rsidR="00447CDD" w:rsidRDefault="00447CDD" w:rsidP="00447CDD">
            <w:pPr>
              <w:jc w:val="both"/>
              <w:rPr>
                <w:sz w:val="16"/>
                <w:szCs w:val="18"/>
              </w:rPr>
            </w:pPr>
          </w:p>
          <w:p w:rsidR="00D24A70" w:rsidRPr="00301329" w:rsidRDefault="00447CDD" w:rsidP="00447CDD">
            <w:pPr>
              <w:jc w:val="both"/>
              <w:rPr>
                <w:sz w:val="16"/>
                <w:szCs w:val="18"/>
              </w:rPr>
            </w:pPr>
            <w:r>
              <w:rPr>
                <w:sz w:val="16"/>
                <w:szCs w:val="18"/>
              </w:rPr>
              <w:t xml:space="preserve">Asimismo, en esa misma </w:t>
            </w:r>
            <w:r w:rsidR="00302084">
              <w:rPr>
                <w:sz w:val="16"/>
                <w:szCs w:val="18"/>
              </w:rPr>
              <w:t>disposición,</w:t>
            </w:r>
            <w:r w:rsidR="00CD3AEB">
              <w:rPr>
                <w:sz w:val="16"/>
                <w:szCs w:val="18"/>
              </w:rPr>
              <w:t xml:space="preserve"> se establece en su último </w:t>
            </w:r>
            <w:r w:rsidR="00CD3AEB" w:rsidRPr="00000C9B">
              <w:rPr>
                <w:sz w:val="16"/>
                <w:szCs w:val="18"/>
              </w:rPr>
              <w:t>párrafo que en caso de normas internas de nueva creación o que sea necesaria su actualización, por petición de la Unidades Responsables se realizará su proceso de revisión independiente al PTRNI, con la finalidad de que estas normas no estén sujetas a los plazos del Programa y se pueda lle</w:t>
            </w:r>
            <w:r w:rsidR="00000C9B" w:rsidRPr="00000C9B">
              <w:rPr>
                <w:sz w:val="16"/>
                <w:szCs w:val="18"/>
              </w:rPr>
              <w:t xml:space="preserve">var su </w:t>
            </w:r>
            <w:r w:rsidR="00000C9B" w:rsidRPr="00000C9B">
              <w:rPr>
                <w:sz w:val="16"/>
                <w:szCs w:val="18"/>
              </w:rPr>
              <w:lastRenderedPageBreak/>
              <w:t>simplificación lo más pronto posible.</w:t>
            </w:r>
          </w:p>
        </w:tc>
      </w:tr>
      <w:tr w:rsidR="006F44B0" w:rsidTr="00C742A9">
        <w:trPr>
          <w:trHeight w:val="1425"/>
        </w:trPr>
        <w:tc>
          <w:tcPr>
            <w:tcW w:w="710" w:type="dxa"/>
            <w:tcBorders>
              <w:top w:val="single" w:sz="4" w:space="0" w:color="auto"/>
              <w:left w:val="single" w:sz="4" w:space="0" w:color="auto"/>
              <w:bottom w:val="single" w:sz="4" w:space="0" w:color="auto"/>
              <w:right w:val="single" w:sz="4" w:space="0" w:color="auto"/>
            </w:tcBorders>
            <w:vAlign w:val="center"/>
            <w:hideMark/>
          </w:tcPr>
          <w:p w:rsidR="006F44B0" w:rsidRDefault="006F44B0">
            <w:pPr>
              <w:jc w:val="center"/>
              <w:rPr>
                <w:rFonts w:ascii="Arial" w:hAnsi="Arial" w:cs="Arial"/>
                <w:sz w:val="16"/>
                <w:szCs w:val="18"/>
              </w:rPr>
            </w:pPr>
            <w:r>
              <w:rPr>
                <w:rFonts w:ascii="Arial" w:hAnsi="Arial" w:cs="Arial"/>
                <w:sz w:val="16"/>
                <w:szCs w:val="18"/>
              </w:rPr>
              <w:lastRenderedPageBreak/>
              <w:t>7</w:t>
            </w:r>
          </w:p>
        </w:tc>
        <w:tc>
          <w:tcPr>
            <w:tcW w:w="3147" w:type="dxa"/>
            <w:tcBorders>
              <w:top w:val="single" w:sz="4" w:space="0" w:color="auto"/>
              <w:left w:val="single" w:sz="4" w:space="0" w:color="auto"/>
              <w:bottom w:val="single" w:sz="4" w:space="0" w:color="auto"/>
              <w:right w:val="single" w:sz="4" w:space="0" w:color="auto"/>
            </w:tcBorders>
            <w:vAlign w:val="center"/>
            <w:hideMark/>
          </w:tcPr>
          <w:p w:rsidR="006F44B0" w:rsidRDefault="006F44B0">
            <w:pPr>
              <w:pStyle w:val="Default"/>
              <w:rPr>
                <w:rFonts w:ascii="Soberana Sans" w:hAnsi="Soberana Sans"/>
                <w:b/>
                <w:bCs/>
                <w:sz w:val="16"/>
                <w:szCs w:val="18"/>
              </w:rPr>
            </w:pPr>
            <w:r>
              <w:rPr>
                <w:rFonts w:ascii="Soberana Sans" w:hAnsi="Soberana Sans"/>
                <w:b/>
                <w:bCs/>
                <w:sz w:val="16"/>
                <w:szCs w:val="18"/>
              </w:rPr>
              <w:t>5.1. Diagnóstico</w:t>
            </w:r>
          </w:p>
        </w:tc>
        <w:tc>
          <w:tcPr>
            <w:tcW w:w="4933" w:type="dxa"/>
            <w:tcBorders>
              <w:top w:val="single" w:sz="4" w:space="0" w:color="auto"/>
              <w:left w:val="single" w:sz="4" w:space="0" w:color="auto"/>
              <w:bottom w:val="single" w:sz="4" w:space="0" w:color="auto"/>
              <w:right w:val="single" w:sz="4" w:space="0" w:color="auto"/>
            </w:tcBorders>
          </w:tcPr>
          <w:p w:rsidR="006F44B0" w:rsidRDefault="00602A95">
            <w:pPr>
              <w:rPr>
                <w:sz w:val="16"/>
                <w:szCs w:val="18"/>
              </w:rPr>
            </w:pPr>
            <w:r>
              <w:rPr>
                <w:sz w:val="16"/>
                <w:szCs w:val="18"/>
              </w:rPr>
              <w:t xml:space="preserve">- Se sugiere establecer </w:t>
            </w:r>
            <w:r w:rsidR="00F63EB9">
              <w:rPr>
                <w:sz w:val="16"/>
                <w:szCs w:val="18"/>
              </w:rPr>
              <w:t>en el PTRNI un Control de Cambios, de modo que se puedan asentar las modificaciones en los plazos sin necesidad de que se requiera la aprobación total del documento</w:t>
            </w:r>
            <w:r w:rsidR="00C742A9">
              <w:rPr>
                <w:sz w:val="16"/>
                <w:szCs w:val="18"/>
              </w:rPr>
              <w:t>.</w:t>
            </w:r>
            <w:r w:rsidR="00F63EB9">
              <w:rPr>
                <w:sz w:val="16"/>
                <w:szCs w:val="18"/>
              </w:rPr>
              <w:t xml:space="preserve"> </w:t>
            </w:r>
          </w:p>
          <w:p w:rsidR="00C742A9" w:rsidRDefault="00C742A9">
            <w:pPr>
              <w:rPr>
                <w:sz w:val="16"/>
                <w:szCs w:val="18"/>
              </w:rPr>
            </w:pPr>
          </w:p>
          <w:p w:rsidR="00C742A9" w:rsidRDefault="00C742A9">
            <w:pPr>
              <w:rPr>
                <w:sz w:val="16"/>
                <w:szCs w:val="18"/>
              </w:rPr>
            </w:pPr>
            <w:r>
              <w:rPr>
                <w:sz w:val="16"/>
                <w:szCs w:val="18"/>
              </w:rPr>
              <w:t xml:space="preserve">-Se sugiere definir el plazo máximo de la prórroga. </w:t>
            </w:r>
          </w:p>
        </w:tc>
        <w:tc>
          <w:tcPr>
            <w:tcW w:w="5103" w:type="dxa"/>
            <w:tcBorders>
              <w:top w:val="single" w:sz="4" w:space="0" w:color="auto"/>
              <w:left w:val="single" w:sz="4" w:space="0" w:color="auto"/>
              <w:bottom w:val="single" w:sz="4" w:space="0" w:color="auto"/>
              <w:right w:val="single" w:sz="4" w:space="0" w:color="auto"/>
            </w:tcBorders>
          </w:tcPr>
          <w:p w:rsidR="00447CDD" w:rsidRDefault="00FE5A15" w:rsidP="00376B07">
            <w:pPr>
              <w:rPr>
                <w:sz w:val="16"/>
                <w:szCs w:val="18"/>
              </w:rPr>
            </w:pPr>
            <w:r>
              <w:rPr>
                <w:sz w:val="16"/>
                <w:szCs w:val="18"/>
              </w:rPr>
              <w:t>-</w:t>
            </w:r>
            <w:r w:rsidR="00447CDD">
              <w:rPr>
                <w:sz w:val="16"/>
                <w:szCs w:val="18"/>
              </w:rPr>
              <w:t xml:space="preserve">No se considera viable, el PTRNI se establece como el documento inicial que considera la programación para todo el año, si se requiere saber lo real y los avances se elaboran </w:t>
            </w:r>
            <w:r>
              <w:rPr>
                <w:sz w:val="16"/>
                <w:szCs w:val="18"/>
              </w:rPr>
              <w:t>informes adicionales</w:t>
            </w:r>
            <w:r w:rsidR="00447CDD">
              <w:rPr>
                <w:sz w:val="16"/>
                <w:szCs w:val="18"/>
              </w:rPr>
              <w:t>.</w:t>
            </w:r>
          </w:p>
          <w:p w:rsidR="00992501" w:rsidRDefault="00992501" w:rsidP="00992501">
            <w:pPr>
              <w:rPr>
                <w:sz w:val="16"/>
                <w:szCs w:val="18"/>
              </w:rPr>
            </w:pPr>
          </w:p>
          <w:p w:rsidR="006F44B0" w:rsidRPr="00992501" w:rsidRDefault="00992501" w:rsidP="00CB0EB6">
            <w:pPr>
              <w:rPr>
                <w:sz w:val="16"/>
                <w:szCs w:val="18"/>
              </w:rPr>
            </w:pPr>
            <w:r>
              <w:rPr>
                <w:sz w:val="16"/>
                <w:szCs w:val="18"/>
              </w:rPr>
              <w:t xml:space="preserve">- La prórroga </w:t>
            </w:r>
            <w:r w:rsidR="00447CDD">
              <w:rPr>
                <w:sz w:val="16"/>
                <w:szCs w:val="18"/>
              </w:rPr>
              <w:t xml:space="preserve">será otorgada por el Grupo de Trabajo, en el entendido que los tiempos otorgados </w:t>
            </w:r>
            <w:r>
              <w:rPr>
                <w:sz w:val="16"/>
                <w:szCs w:val="18"/>
              </w:rPr>
              <w:t>no</w:t>
            </w:r>
            <w:r w:rsidR="00447CDD">
              <w:rPr>
                <w:sz w:val="16"/>
                <w:szCs w:val="18"/>
              </w:rPr>
              <w:t xml:space="preserve"> deberán</w:t>
            </w:r>
            <w:r>
              <w:rPr>
                <w:sz w:val="16"/>
                <w:szCs w:val="18"/>
              </w:rPr>
              <w:t xml:space="preserve"> afecta</w:t>
            </w:r>
            <w:r w:rsidR="00A822A1">
              <w:rPr>
                <w:sz w:val="16"/>
                <w:szCs w:val="18"/>
              </w:rPr>
              <w:t>r</w:t>
            </w:r>
            <w:r>
              <w:rPr>
                <w:sz w:val="16"/>
                <w:szCs w:val="18"/>
              </w:rPr>
              <w:t xml:space="preserve"> el cumplimiento del PTRNI</w:t>
            </w:r>
            <w:r w:rsidR="00CB0EB6">
              <w:rPr>
                <w:sz w:val="16"/>
                <w:szCs w:val="18"/>
              </w:rPr>
              <w:t>.</w:t>
            </w:r>
          </w:p>
        </w:tc>
      </w:tr>
      <w:tr w:rsidR="006F44B0" w:rsidTr="003A2EE2">
        <w:trPr>
          <w:trHeight w:val="706"/>
        </w:trPr>
        <w:tc>
          <w:tcPr>
            <w:tcW w:w="710" w:type="dxa"/>
            <w:tcBorders>
              <w:top w:val="single" w:sz="4" w:space="0" w:color="auto"/>
              <w:left w:val="single" w:sz="4" w:space="0" w:color="auto"/>
              <w:bottom w:val="single" w:sz="4" w:space="0" w:color="auto"/>
              <w:right w:val="single" w:sz="4" w:space="0" w:color="auto"/>
            </w:tcBorders>
            <w:vAlign w:val="center"/>
            <w:hideMark/>
          </w:tcPr>
          <w:p w:rsidR="006F44B0" w:rsidRDefault="006F44B0">
            <w:pPr>
              <w:jc w:val="center"/>
              <w:rPr>
                <w:rFonts w:ascii="Arial" w:hAnsi="Arial" w:cs="Arial"/>
                <w:sz w:val="16"/>
                <w:szCs w:val="18"/>
              </w:rPr>
            </w:pPr>
            <w:r>
              <w:rPr>
                <w:rFonts w:ascii="Arial" w:hAnsi="Arial" w:cs="Arial"/>
                <w:sz w:val="16"/>
                <w:szCs w:val="18"/>
              </w:rPr>
              <w:t>8</w:t>
            </w:r>
          </w:p>
        </w:tc>
        <w:tc>
          <w:tcPr>
            <w:tcW w:w="3147" w:type="dxa"/>
            <w:tcBorders>
              <w:top w:val="single" w:sz="4" w:space="0" w:color="auto"/>
              <w:left w:val="single" w:sz="4" w:space="0" w:color="auto"/>
              <w:bottom w:val="single" w:sz="4" w:space="0" w:color="auto"/>
              <w:right w:val="single" w:sz="4" w:space="0" w:color="auto"/>
            </w:tcBorders>
            <w:vAlign w:val="center"/>
            <w:hideMark/>
          </w:tcPr>
          <w:p w:rsidR="006F44B0" w:rsidRDefault="006F44B0">
            <w:pPr>
              <w:pStyle w:val="Default"/>
              <w:rPr>
                <w:rFonts w:ascii="Soberana Sans" w:hAnsi="Soberana Sans"/>
                <w:b/>
                <w:bCs/>
                <w:sz w:val="16"/>
                <w:szCs w:val="18"/>
              </w:rPr>
            </w:pPr>
            <w:r>
              <w:rPr>
                <w:rFonts w:ascii="Soberana Sans" w:hAnsi="Soberana Sans"/>
                <w:b/>
                <w:bCs/>
                <w:sz w:val="16"/>
                <w:szCs w:val="18"/>
              </w:rPr>
              <w:t>5.2. Revisión</w:t>
            </w:r>
            <w:r>
              <w:rPr>
                <w:rFonts w:ascii="Soberana Sans" w:hAnsi="Soberana Sans" w:cs="Times New Roman"/>
                <w:sz w:val="16"/>
                <w:szCs w:val="18"/>
              </w:rPr>
              <w:t xml:space="preserve"> </w:t>
            </w:r>
          </w:p>
        </w:tc>
        <w:tc>
          <w:tcPr>
            <w:tcW w:w="4933" w:type="dxa"/>
            <w:tcBorders>
              <w:top w:val="single" w:sz="4" w:space="0" w:color="auto"/>
              <w:left w:val="single" w:sz="4" w:space="0" w:color="auto"/>
              <w:bottom w:val="single" w:sz="4" w:space="0" w:color="auto"/>
              <w:right w:val="single" w:sz="4" w:space="0" w:color="auto"/>
            </w:tcBorders>
          </w:tcPr>
          <w:p w:rsidR="006F44B0" w:rsidRDefault="005D71CC">
            <w:pPr>
              <w:jc w:val="both"/>
              <w:rPr>
                <w:sz w:val="16"/>
                <w:szCs w:val="18"/>
              </w:rPr>
            </w:pPr>
            <w:r>
              <w:rPr>
                <w:sz w:val="16"/>
                <w:szCs w:val="18"/>
              </w:rPr>
              <w:t xml:space="preserve">- Se menciona que el Grupo de Interés incorporará los comentarios en la </w:t>
            </w:r>
            <w:proofErr w:type="spellStart"/>
            <w:r>
              <w:rPr>
                <w:sz w:val="16"/>
                <w:szCs w:val="18"/>
              </w:rPr>
              <w:t>normateca</w:t>
            </w:r>
            <w:proofErr w:type="spellEnd"/>
            <w:r>
              <w:rPr>
                <w:sz w:val="16"/>
                <w:szCs w:val="18"/>
              </w:rPr>
              <w:t xml:space="preserve"> interna; sin embargo, no se define como se llevará a cabo la accesibilidad al sistema. </w:t>
            </w:r>
          </w:p>
          <w:p w:rsidR="005A2D19" w:rsidRDefault="005A2D19">
            <w:pPr>
              <w:jc w:val="both"/>
              <w:rPr>
                <w:sz w:val="16"/>
                <w:szCs w:val="18"/>
              </w:rPr>
            </w:pPr>
          </w:p>
          <w:p w:rsidR="005A2D19" w:rsidRDefault="005A2D19">
            <w:pPr>
              <w:jc w:val="both"/>
              <w:rPr>
                <w:sz w:val="16"/>
                <w:szCs w:val="18"/>
              </w:rPr>
            </w:pPr>
            <w:r>
              <w:rPr>
                <w:sz w:val="16"/>
                <w:szCs w:val="18"/>
              </w:rPr>
              <w:t xml:space="preserve">- Si bien es cierto que no son actividades que se realizan en la etapa de revisión, se sugiere establecer las funciones de las UAA, toda vez que se </w:t>
            </w:r>
            <w:r w:rsidR="002F3651">
              <w:rPr>
                <w:sz w:val="16"/>
                <w:szCs w:val="18"/>
              </w:rPr>
              <w:t xml:space="preserve">requieren controles preventivos, previos a aquellos que pueda ejercer el OIC </w:t>
            </w:r>
            <w:r w:rsidR="00191142">
              <w:rPr>
                <w:sz w:val="16"/>
                <w:szCs w:val="18"/>
              </w:rPr>
              <w:t xml:space="preserve">con base en el Apartado 7 Vigilancia, y demás disposiciones aplicables. </w:t>
            </w:r>
          </w:p>
          <w:p w:rsidR="00D22E62" w:rsidRDefault="00D22E62">
            <w:pPr>
              <w:jc w:val="both"/>
              <w:rPr>
                <w:sz w:val="16"/>
                <w:szCs w:val="18"/>
              </w:rPr>
            </w:pPr>
          </w:p>
          <w:p w:rsidR="00D22E62" w:rsidRDefault="00D22E62">
            <w:pPr>
              <w:jc w:val="both"/>
              <w:rPr>
                <w:sz w:val="16"/>
                <w:szCs w:val="18"/>
              </w:rPr>
            </w:pPr>
          </w:p>
          <w:p w:rsidR="00191142" w:rsidRDefault="00191142">
            <w:pPr>
              <w:jc w:val="both"/>
              <w:rPr>
                <w:sz w:val="16"/>
                <w:szCs w:val="18"/>
              </w:rPr>
            </w:pPr>
          </w:p>
          <w:p w:rsidR="00191142" w:rsidRDefault="00191142">
            <w:pPr>
              <w:jc w:val="both"/>
              <w:rPr>
                <w:sz w:val="16"/>
                <w:szCs w:val="18"/>
              </w:rPr>
            </w:pPr>
            <w:r>
              <w:rPr>
                <w:sz w:val="16"/>
                <w:szCs w:val="18"/>
              </w:rPr>
              <w:t xml:space="preserve">- </w:t>
            </w:r>
            <w:r w:rsidR="00CB0EB6">
              <w:rPr>
                <w:sz w:val="16"/>
                <w:szCs w:val="18"/>
              </w:rPr>
              <w:t>Notificar al OIC en caso de incumplimiento de las UAE y UAP</w:t>
            </w:r>
          </w:p>
          <w:p w:rsidR="00D22E62" w:rsidRDefault="00D22E62">
            <w:pPr>
              <w:jc w:val="both"/>
              <w:rPr>
                <w:sz w:val="16"/>
                <w:szCs w:val="18"/>
              </w:rPr>
            </w:pPr>
          </w:p>
          <w:p w:rsidR="00191142" w:rsidRDefault="00191142">
            <w:pPr>
              <w:jc w:val="both"/>
              <w:rPr>
                <w:sz w:val="16"/>
                <w:szCs w:val="18"/>
              </w:rPr>
            </w:pPr>
          </w:p>
          <w:p w:rsidR="00CB0EB6" w:rsidRDefault="00CB0EB6">
            <w:pPr>
              <w:jc w:val="both"/>
              <w:rPr>
                <w:sz w:val="16"/>
                <w:szCs w:val="18"/>
              </w:rPr>
            </w:pPr>
          </w:p>
          <w:p w:rsidR="00CB0EB6" w:rsidRDefault="00CB0EB6">
            <w:pPr>
              <w:jc w:val="both"/>
              <w:rPr>
                <w:sz w:val="16"/>
                <w:szCs w:val="18"/>
              </w:rPr>
            </w:pPr>
          </w:p>
          <w:p w:rsidR="00CB0EB6" w:rsidRDefault="00CB0EB6">
            <w:pPr>
              <w:jc w:val="both"/>
              <w:rPr>
                <w:sz w:val="16"/>
                <w:szCs w:val="18"/>
              </w:rPr>
            </w:pPr>
          </w:p>
          <w:p w:rsidR="00CB0EB6" w:rsidRDefault="00CB0EB6">
            <w:pPr>
              <w:jc w:val="both"/>
              <w:rPr>
                <w:sz w:val="16"/>
                <w:szCs w:val="18"/>
              </w:rPr>
            </w:pPr>
          </w:p>
          <w:p w:rsidR="00191142" w:rsidRDefault="00191142">
            <w:pPr>
              <w:jc w:val="both"/>
              <w:rPr>
                <w:sz w:val="16"/>
                <w:szCs w:val="18"/>
              </w:rPr>
            </w:pPr>
            <w:r>
              <w:rPr>
                <w:sz w:val="16"/>
                <w:szCs w:val="18"/>
              </w:rPr>
              <w:t xml:space="preserve">- Se sugiere establecer dichas funciones, toda vez que no se encuentra mandatada por dicho documento, principalmente lo relativo a la actualización del inventario de normas internas sustantivas y administrativas en la </w:t>
            </w:r>
            <w:proofErr w:type="spellStart"/>
            <w:r>
              <w:rPr>
                <w:sz w:val="16"/>
                <w:szCs w:val="18"/>
              </w:rPr>
              <w:t>normateca</w:t>
            </w:r>
            <w:proofErr w:type="spellEnd"/>
            <w:r>
              <w:rPr>
                <w:sz w:val="16"/>
                <w:szCs w:val="18"/>
              </w:rPr>
              <w:t xml:space="preserve"> interna de la SCT. </w:t>
            </w:r>
          </w:p>
          <w:p w:rsidR="00D22E62" w:rsidRDefault="00D22E62">
            <w:pPr>
              <w:jc w:val="both"/>
              <w:rPr>
                <w:sz w:val="16"/>
                <w:szCs w:val="18"/>
              </w:rPr>
            </w:pPr>
          </w:p>
          <w:p w:rsidR="00D22E62" w:rsidRDefault="00D22E62">
            <w:pPr>
              <w:jc w:val="both"/>
              <w:rPr>
                <w:sz w:val="16"/>
                <w:szCs w:val="18"/>
              </w:rPr>
            </w:pPr>
          </w:p>
          <w:p w:rsidR="00D22E62" w:rsidRDefault="00D22E62">
            <w:pPr>
              <w:jc w:val="both"/>
              <w:rPr>
                <w:sz w:val="16"/>
                <w:szCs w:val="18"/>
              </w:rPr>
            </w:pPr>
          </w:p>
          <w:p w:rsidR="00191142" w:rsidRDefault="00191142">
            <w:pPr>
              <w:jc w:val="both"/>
              <w:rPr>
                <w:sz w:val="16"/>
                <w:szCs w:val="18"/>
              </w:rPr>
            </w:pPr>
          </w:p>
          <w:p w:rsidR="00191142" w:rsidRDefault="00191142">
            <w:pPr>
              <w:jc w:val="both"/>
              <w:rPr>
                <w:sz w:val="16"/>
                <w:szCs w:val="18"/>
              </w:rPr>
            </w:pPr>
            <w:r>
              <w:rPr>
                <w:sz w:val="16"/>
                <w:szCs w:val="18"/>
              </w:rPr>
              <w:t xml:space="preserve">- </w:t>
            </w:r>
            <w:r w:rsidR="00E10827">
              <w:rPr>
                <w:sz w:val="16"/>
                <w:szCs w:val="18"/>
              </w:rPr>
              <w:t xml:space="preserve">Se sugiere establecer la emisión de opiniones relativas al anteproyecto, cuyo objetivo sería el de complementar las opiniones del resultado del diagnóstico establecidas actualmente en el documento. </w:t>
            </w:r>
          </w:p>
          <w:p w:rsidR="00810EAD" w:rsidRDefault="00810EAD">
            <w:pPr>
              <w:jc w:val="both"/>
              <w:rPr>
                <w:sz w:val="16"/>
                <w:szCs w:val="18"/>
              </w:rPr>
            </w:pPr>
          </w:p>
          <w:p w:rsidR="00810EAD" w:rsidRDefault="00810EAD">
            <w:pPr>
              <w:jc w:val="both"/>
              <w:rPr>
                <w:sz w:val="16"/>
                <w:szCs w:val="18"/>
              </w:rPr>
            </w:pPr>
            <w:r>
              <w:rPr>
                <w:sz w:val="16"/>
                <w:szCs w:val="18"/>
              </w:rPr>
              <w:t xml:space="preserve">- La sugerencia se refiere a la posibilidad de que emitan comentarios personas distintas al GT, como es el caso de los GI. Esto toda vez que el acceso a la sección comentarios está restringido a usuarios del GT. De otra forma, no es claro en qué ámbito o por medio de qué mecanismo los GI emitirán su opinión sobre los anteproyectos. </w:t>
            </w:r>
          </w:p>
          <w:p w:rsidR="00A42AD2" w:rsidRDefault="00A42AD2">
            <w:pPr>
              <w:jc w:val="both"/>
              <w:rPr>
                <w:sz w:val="16"/>
                <w:szCs w:val="18"/>
              </w:rPr>
            </w:pPr>
          </w:p>
          <w:p w:rsidR="00A42AD2" w:rsidRDefault="00A42AD2">
            <w:pPr>
              <w:jc w:val="both"/>
              <w:rPr>
                <w:sz w:val="16"/>
                <w:szCs w:val="18"/>
              </w:rPr>
            </w:pPr>
            <w:r>
              <w:rPr>
                <w:sz w:val="16"/>
                <w:szCs w:val="18"/>
              </w:rPr>
              <w:t xml:space="preserve">- </w:t>
            </w:r>
            <w:r w:rsidR="00312A35">
              <w:rPr>
                <w:sz w:val="16"/>
                <w:szCs w:val="18"/>
              </w:rPr>
              <w:t xml:space="preserve">Revisar y, en su caso, modificar la palabra proyecto y/o norma por anteproyecto, a fin de ser consistente con la definición. </w:t>
            </w:r>
          </w:p>
          <w:p w:rsidR="00312A35" w:rsidRDefault="00312A35">
            <w:pPr>
              <w:jc w:val="both"/>
              <w:rPr>
                <w:sz w:val="16"/>
                <w:szCs w:val="18"/>
              </w:rPr>
            </w:pPr>
          </w:p>
          <w:p w:rsidR="00B45EB4" w:rsidRDefault="00B45EB4">
            <w:pPr>
              <w:jc w:val="both"/>
              <w:rPr>
                <w:sz w:val="16"/>
                <w:szCs w:val="18"/>
              </w:rPr>
            </w:pPr>
          </w:p>
          <w:p w:rsidR="00312A35" w:rsidRDefault="00312A35">
            <w:pPr>
              <w:jc w:val="both"/>
              <w:rPr>
                <w:sz w:val="16"/>
                <w:szCs w:val="18"/>
              </w:rPr>
            </w:pPr>
            <w:r>
              <w:rPr>
                <w:sz w:val="16"/>
                <w:szCs w:val="18"/>
              </w:rPr>
              <w:t>- En el inciso a) de la UAA, tercer punto primera línea eliminar la palabra “se”.</w:t>
            </w:r>
          </w:p>
          <w:p w:rsidR="00312A35" w:rsidRDefault="00312A35">
            <w:pPr>
              <w:jc w:val="both"/>
              <w:rPr>
                <w:sz w:val="16"/>
                <w:szCs w:val="18"/>
              </w:rPr>
            </w:pPr>
          </w:p>
          <w:p w:rsidR="00312A35" w:rsidRDefault="00312A35">
            <w:pPr>
              <w:jc w:val="both"/>
              <w:rPr>
                <w:sz w:val="16"/>
                <w:szCs w:val="18"/>
              </w:rPr>
            </w:pPr>
          </w:p>
          <w:p w:rsidR="00312A35" w:rsidRDefault="00312A35">
            <w:pPr>
              <w:jc w:val="both"/>
              <w:rPr>
                <w:sz w:val="16"/>
                <w:szCs w:val="18"/>
              </w:rPr>
            </w:pPr>
            <w:r>
              <w:rPr>
                <w:sz w:val="16"/>
                <w:szCs w:val="18"/>
              </w:rPr>
              <w:t xml:space="preserve">- Con el propósito de simplificar el texto, se sugiere revisar las actividades de las UAA, conforma al ejemplo siguiente: </w:t>
            </w:r>
          </w:p>
          <w:p w:rsidR="00312A35" w:rsidRDefault="00312A35">
            <w:pPr>
              <w:jc w:val="both"/>
              <w:rPr>
                <w:sz w:val="16"/>
                <w:szCs w:val="18"/>
              </w:rPr>
            </w:pPr>
          </w:p>
          <w:p w:rsidR="00312A35" w:rsidRDefault="00312A35">
            <w:pPr>
              <w:jc w:val="both"/>
              <w:rPr>
                <w:sz w:val="16"/>
                <w:szCs w:val="18"/>
              </w:rPr>
            </w:pPr>
            <w:r>
              <w:rPr>
                <w:sz w:val="16"/>
                <w:szCs w:val="18"/>
              </w:rPr>
              <w:t xml:space="preserve">El OIC en el ámbito de su competencia, realizará del </w:t>
            </w:r>
            <w:r w:rsidR="00845DBD">
              <w:rPr>
                <w:sz w:val="16"/>
                <w:szCs w:val="18"/>
              </w:rPr>
              <w:t xml:space="preserve">anteproyecto lo siguiente: </w:t>
            </w:r>
          </w:p>
          <w:p w:rsidR="00845DBD" w:rsidRDefault="00845DBD">
            <w:pPr>
              <w:jc w:val="both"/>
              <w:rPr>
                <w:sz w:val="16"/>
                <w:szCs w:val="18"/>
              </w:rPr>
            </w:pPr>
          </w:p>
          <w:p w:rsidR="00845DBD" w:rsidRDefault="00845DBD">
            <w:pPr>
              <w:jc w:val="both"/>
              <w:rPr>
                <w:sz w:val="16"/>
                <w:szCs w:val="18"/>
              </w:rPr>
            </w:pPr>
            <w:r>
              <w:rPr>
                <w:sz w:val="16"/>
                <w:szCs w:val="18"/>
              </w:rPr>
              <w:t>Evaluar los atributos de calidad (…)</w:t>
            </w:r>
          </w:p>
          <w:p w:rsidR="00845DBD" w:rsidRDefault="00845DBD">
            <w:pPr>
              <w:jc w:val="both"/>
              <w:rPr>
                <w:sz w:val="16"/>
                <w:szCs w:val="18"/>
              </w:rPr>
            </w:pPr>
            <w:r>
              <w:rPr>
                <w:sz w:val="16"/>
                <w:szCs w:val="18"/>
              </w:rPr>
              <w:t>Funcionalidad y orientación a la mejora (…)</w:t>
            </w:r>
          </w:p>
          <w:p w:rsidR="00845DBD" w:rsidRDefault="00845DBD">
            <w:pPr>
              <w:jc w:val="both"/>
              <w:rPr>
                <w:sz w:val="16"/>
                <w:szCs w:val="18"/>
              </w:rPr>
            </w:pPr>
          </w:p>
          <w:p w:rsidR="00845DBD" w:rsidRDefault="00845DBD">
            <w:pPr>
              <w:jc w:val="both"/>
              <w:rPr>
                <w:sz w:val="16"/>
                <w:szCs w:val="18"/>
              </w:rPr>
            </w:pPr>
            <w:r>
              <w:rPr>
                <w:sz w:val="16"/>
                <w:szCs w:val="18"/>
              </w:rPr>
              <w:t xml:space="preserve">Lo anterior, evitará repetir en demasía la palabra norma interna.  </w:t>
            </w:r>
          </w:p>
        </w:tc>
        <w:tc>
          <w:tcPr>
            <w:tcW w:w="5103" w:type="dxa"/>
            <w:tcBorders>
              <w:top w:val="single" w:sz="4" w:space="0" w:color="auto"/>
              <w:left w:val="single" w:sz="4" w:space="0" w:color="auto"/>
              <w:bottom w:val="single" w:sz="4" w:space="0" w:color="auto"/>
              <w:right w:val="single" w:sz="4" w:space="0" w:color="auto"/>
            </w:tcBorders>
          </w:tcPr>
          <w:p w:rsidR="00DE56F5" w:rsidRDefault="00DE56F5">
            <w:pPr>
              <w:jc w:val="both"/>
              <w:rPr>
                <w:sz w:val="16"/>
                <w:szCs w:val="18"/>
              </w:rPr>
            </w:pPr>
            <w:r>
              <w:rPr>
                <w:sz w:val="16"/>
                <w:szCs w:val="18"/>
              </w:rPr>
              <w:lastRenderedPageBreak/>
              <w:t xml:space="preserve">- </w:t>
            </w:r>
            <w:r w:rsidR="005E60C8" w:rsidRPr="005E60C8">
              <w:rPr>
                <w:sz w:val="16"/>
                <w:szCs w:val="18"/>
              </w:rPr>
              <w:t>Atendido</w:t>
            </w:r>
            <w:r w:rsidR="00C07176">
              <w:rPr>
                <w:sz w:val="16"/>
                <w:szCs w:val="18"/>
              </w:rPr>
              <w:t>.</w:t>
            </w:r>
            <w:r w:rsidR="005E60C8" w:rsidRPr="005E60C8">
              <w:rPr>
                <w:sz w:val="16"/>
                <w:szCs w:val="18"/>
              </w:rPr>
              <w:t xml:space="preserve"> </w:t>
            </w:r>
            <w:r w:rsidR="00C07176">
              <w:rPr>
                <w:sz w:val="16"/>
                <w:szCs w:val="18"/>
              </w:rPr>
              <w:t>S</w:t>
            </w:r>
            <w:r w:rsidR="00CB0EB6">
              <w:rPr>
                <w:sz w:val="16"/>
                <w:szCs w:val="18"/>
              </w:rPr>
              <w:t>e incorporó en el proceso de revisión la forma en la que el Grupo de Interés emitirá sus comentarios.</w:t>
            </w:r>
          </w:p>
          <w:p w:rsidR="00DE56F5" w:rsidRDefault="00DE56F5" w:rsidP="00DE56F5">
            <w:pPr>
              <w:rPr>
                <w:sz w:val="16"/>
                <w:szCs w:val="18"/>
              </w:rPr>
            </w:pPr>
          </w:p>
          <w:p w:rsidR="00DE56F5" w:rsidRDefault="00DE56F5" w:rsidP="00DE56F5">
            <w:pPr>
              <w:rPr>
                <w:sz w:val="16"/>
                <w:szCs w:val="18"/>
              </w:rPr>
            </w:pPr>
          </w:p>
          <w:p w:rsidR="00DE56F5" w:rsidRPr="00DE56F5" w:rsidRDefault="00DE56F5" w:rsidP="00DE56F5">
            <w:pPr>
              <w:rPr>
                <w:sz w:val="16"/>
                <w:szCs w:val="18"/>
              </w:rPr>
            </w:pPr>
            <w:r>
              <w:rPr>
                <w:sz w:val="16"/>
                <w:szCs w:val="18"/>
              </w:rPr>
              <w:t xml:space="preserve">- </w:t>
            </w:r>
            <w:r w:rsidR="00C07176">
              <w:rPr>
                <w:sz w:val="16"/>
                <w:szCs w:val="18"/>
              </w:rPr>
              <w:t>Atendido. S</w:t>
            </w:r>
            <w:r w:rsidR="00CB0EB6">
              <w:rPr>
                <w:sz w:val="16"/>
                <w:szCs w:val="18"/>
              </w:rPr>
              <w:t>e incorporó como primera disposición la forma en la que se integrará el grupo de trabajo así como las funciones que éste tendrá.</w:t>
            </w:r>
          </w:p>
          <w:p w:rsidR="00DE56F5" w:rsidRDefault="00DE56F5" w:rsidP="00DE56F5">
            <w:pPr>
              <w:rPr>
                <w:sz w:val="16"/>
                <w:szCs w:val="18"/>
              </w:rPr>
            </w:pPr>
          </w:p>
          <w:p w:rsidR="00DE56F5" w:rsidRDefault="00DE56F5" w:rsidP="00DE56F5">
            <w:pPr>
              <w:rPr>
                <w:sz w:val="16"/>
                <w:szCs w:val="18"/>
              </w:rPr>
            </w:pPr>
          </w:p>
          <w:p w:rsidR="00EB1FC2" w:rsidRDefault="00EB1FC2" w:rsidP="00DE56F5">
            <w:pPr>
              <w:rPr>
                <w:sz w:val="16"/>
                <w:szCs w:val="18"/>
              </w:rPr>
            </w:pPr>
          </w:p>
          <w:p w:rsidR="00EB1FC2" w:rsidRDefault="00EB1FC2" w:rsidP="00DE56F5">
            <w:pPr>
              <w:rPr>
                <w:sz w:val="16"/>
                <w:szCs w:val="18"/>
              </w:rPr>
            </w:pPr>
          </w:p>
          <w:p w:rsidR="00EB1FC2" w:rsidRDefault="00EB1FC2" w:rsidP="00DE56F5">
            <w:pPr>
              <w:rPr>
                <w:sz w:val="16"/>
                <w:szCs w:val="18"/>
              </w:rPr>
            </w:pPr>
          </w:p>
          <w:p w:rsidR="00DE56F5" w:rsidRDefault="00DE56F5" w:rsidP="00DE56F5">
            <w:pPr>
              <w:rPr>
                <w:sz w:val="16"/>
                <w:szCs w:val="18"/>
              </w:rPr>
            </w:pPr>
          </w:p>
          <w:p w:rsidR="00CB0EB6" w:rsidRDefault="00DE56F5" w:rsidP="00DE56F5">
            <w:pPr>
              <w:rPr>
                <w:sz w:val="16"/>
                <w:szCs w:val="18"/>
              </w:rPr>
            </w:pPr>
            <w:r>
              <w:rPr>
                <w:sz w:val="16"/>
                <w:szCs w:val="18"/>
              </w:rPr>
              <w:t xml:space="preserve">- </w:t>
            </w:r>
            <w:r w:rsidR="00000C9B">
              <w:rPr>
                <w:sz w:val="16"/>
                <w:szCs w:val="18"/>
              </w:rPr>
              <w:t xml:space="preserve">Se </w:t>
            </w:r>
            <w:r w:rsidR="00CB0EB6">
              <w:rPr>
                <w:sz w:val="16"/>
                <w:szCs w:val="18"/>
              </w:rPr>
              <w:t>agregó el Lineamiento General 5.4, en el que se establece:</w:t>
            </w:r>
          </w:p>
          <w:p w:rsidR="008B378F" w:rsidRDefault="00CB0EB6" w:rsidP="00DE56F5">
            <w:pPr>
              <w:rPr>
                <w:sz w:val="16"/>
                <w:szCs w:val="18"/>
              </w:rPr>
            </w:pPr>
            <w:r>
              <w:rPr>
                <w:sz w:val="16"/>
                <w:szCs w:val="18"/>
              </w:rPr>
              <w:t xml:space="preserve"> “</w:t>
            </w:r>
            <w:r w:rsidR="00DF1DCC" w:rsidRPr="00DF1DCC">
              <w:rPr>
                <w:sz w:val="16"/>
                <w:szCs w:val="18"/>
              </w:rPr>
              <w:t>En caso de incumplimiento de los presentes lineamientos se notificará al OIC, para que en el ámbito de su competencia determine las responsabilidades adm</w:t>
            </w:r>
            <w:r w:rsidR="00DF1DCC">
              <w:rPr>
                <w:sz w:val="16"/>
                <w:szCs w:val="18"/>
              </w:rPr>
              <w:t>inistrativas correspondientes</w:t>
            </w:r>
            <w:r w:rsidRPr="00CB0EB6">
              <w:rPr>
                <w:sz w:val="16"/>
                <w:szCs w:val="18"/>
              </w:rPr>
              <w:t>.</w:t>
            </w:r>
            <w:r>
              <w:rPr>
                <w:sz w:val="16"/>
                <w:szCs w:val="18"/>
              </w:rPr>
              <w:t>” Con la finalidad de que en cualquier parte del proceso podamos informar tanto las UAE, UAP, UAC y UAA cualquier retraso o incumplimiento.</w:t>
            </w:r>
            <w:r w:rsidRPr="00CB0EB6">
              <w:rPr>
                <w:sz w:val="16"/>
                <w:szCs w:val="18"/>
              </w:rPr>
              <w:t xml:space="preserve">  </w:t>
            </w:r>
          </w:p>
          <w:p w:rsidR="00D22E62" w:rsidRDefault="00D22E62" w:rsidP="008B378F">
            <w:pPr>
              <w:rPr>
                <w:sz w:val="16"/>
                <w:szCs w:val="18"/>
              </w:rPr>
            </w:pPr>
          </w:p>
          <w:p w:rsidR="008B378F" w:rsidRDefault="008B378F" w:rsidP="008B378F">
            <w:pPr>
              <w:rPr>
                <w:sz w:val="16"/>
                <w:szCs w:val="18"/>
              </w:rPr>
            </w:pPr>
            <w:r>
              <w:rPr>
                <w:sz w:val="16"/>
                <w:szCs w:val="18"/>
              </w:rPr>
              <w:t xml:space="preserve">- </w:t>
            </w:r>
            <w:r w:rsidR="0098423A">
              <w:rPr>
                <w:sz w:val="16"/>
                <w:szCs w:val="18"/>
              </w:rPr>
              <w:t>Se integró como Lineamiento General 5.3 lo siguiente:</w:t>
            </w:r>
          </w:p>
          <w:p w:rsidR="0098423A" w:rsidRDefault="0098423A" w:rsidP="008B378F">
            <w:pPr>
              <w:rPr>
                <w:sz w:val="16"/>
                <w:szCs w:val="18"/>
              </w:rPr>
            </w:pPr>
            <w:r>
              <w:rPr>
                <w:sz w:val="16"/>
                <w:szCs w:val="18"/>
              </w:rPr>
              <w:t>“</w:t>
            </w:r>
            <w:r w:rsidRPr="0098423A">
              <w:rPr>
                <w:sz w:val="16"/>
                <w:szCs w:val="18"/>
              </w:rPr>
              <w:t xml:space="preserve">La DGPOP será la encargada de concentrar las normas internas en </w:t>
            </w:r>
            <w:r w:rsidR="00251C04">
              <w:rPr>
                <w:sz w:val="16"/>
                <w:szCs w:val="18"/>
              </w:rPr>
              <w:t>la</w:t>
            </w:r>
            <w:r w:rsidRPr="0098423A">
              <w:rPr>
                <w:sz w:val="16"/>
                <w:szCs w:val="18"/>
              </w:rPr>
              <w:t xml:space="preserve"> </w:t>
            </w:r>
            <w:proofErr w:type="spellStart"/>
            <w:r w:rsidRPr="0098423A">
              <w:rPr>
                <w:sz w:val="16"/>
                <w:szCs w:val="18"/>
              </w:rPr>
              <w:t>Normateca</w:t>
            </w:r>
            <w:proofErr w:type="spellEnd"/>
            <w:r w:rsidRPr="0098423A">
              <w:rPr>
                <w:sz w:val="16"/>
                <w:szCs w:val="18"/>
              </w:rPr>
              <w:t xml:space="preserve"> Interna, así como</w:t>
            </w:r>
            <w:r>
              <w:rPr>
                <w:sz w:val="16"/>
                <w:szCs w:val="18"/>
              </w:rPr>
              <w:t xml:space="preserve"> de</w:t>
            </w:r>
            <w:r w:rsidRPr="0098423A">
              <w:rPr>
                <w:sz w:val="16"/>
                <w:szCs w:val="18"/>
              </w:rPr>
              <w:t xml:space="preserve"> efectuar los movimientos al inventario en el Sistema de Administraci</w:t>
            </w:r>
            <w:r>
              <w:rPr>
                <w:sz w:val="16"/>
                <w:szCs w:val="18"/>
              </w:rPr>
              <w:t>ón de Normas Internas de la APF”</w:t>
            </w:r>
          </w:p>
          <w:p w:rsidR="008B378F" w:rsidRPr="008B378F" w:rsidRDefault="008B378F" w:rsidP="008B378F">
            <w:pPr>
              <w:rPr>
                <w:sz w:val="16"/>
                <w:szCs w:val="18"/>
              </w:rPr>
            </w:pPr>
          </w:p>
          <w:p w:rsidR="008B378F" w:rsidRDefault="008B378F" w:rsidP="008B378F">
            <w:pPr>
              <w:rPr>
                <w:sz w:val="16"/>
                <w:szCs w:val="18"/>
              </w:rPr>
            </w:pPr>
          </w:p>
          <w:p w:rsidR="008B378F" w:rsidRDefault="008B378F" w:rsidP="008B378F">
            <w:pPr>
              <w:rPr>
                <w:sz w:val="16"/>
                <w:szCs w:val="18"/>
              </w:rPr>
            </w:pPr>
          </w:p>
          <w:p w:rsidR="008B378F" w:rsidRDefault="008B378F" w:rsidP="008B378F">
            <w:pPr>
              <w:rPr>
                <w:sz w:val="16"/>
                <w:szCs w:val="18"/>
              </w:rPr>
            </w:pPr>
          </w:p>
          <w:p w:rsidR="008B378F" w:rsidRDefault="008B378F" w:rsidP="008B378F">
            <w:pPr>
              <w:rPr>
                <w:sz w:val="16"/>
                <w:szCs w:val="18"/>
              </w:rPr>
            </w:pPr>
            <w:r>
              <w:rPr>
                <w:sz w:val="16"/>
                <w:szCs w:val="18"/>
              </w:rPr>
              <w:t xml:space="preserve">- </w:t>
            </w:r>
            <w:r w:rsidR="00DF1DCC">
              <w:rPr>
                <w:sz w:val="16"/>
                <w:szCs w:val="18"/>
              </w:rPr>
              <w:t>En la etapa de Revisión, se considera como actividad la siguiente:</w:t>
            </w:r>
          </w:p>
          <w:p w:rsidR="00DF1DCC" w:rsidRDefault="00DF1DCC" w:rsidP="008B378F">
            <w:pPr>
              <w:rPr>
                <w:sz w:val="16"/>
                <w:szCs w:val="18"/>
              </w:rPr>
            </w:pPr>
            <w:r>
              <w:rPr>
                <w:sz w:val="16"/>
                <w:szCs w:val="18"/>
              </w:rPr>
              <w:t>“</w:t>
            </w:r>
            <w:r w:rsidR="00D61DF8">
              <w:rPr>
                <w:sz w:val="16"/>
                <w:szCs w:val="18"/>
              </w:rPr>
              <w:t xml:space="preserve">5. </w:t>
            </w:r>
            <w:r w:rsidRPr="00DF1DCC">
              <w:rPr>
                <w:sz w:val="16"/>
                <w:szCs w:val="18"/>
              </w:rPr>
              <w:t>Opinar sobre el resultado del diagnóstico</w:t>
            </w:r>
            <w:r>
              <w:rPr>
                <w:sz w:val="16"/>
                <w:szCs w:val="18"/>
              </w:rPr>
              <w:t>” con ésta actividad las UAA podrán emitir sus opiniones generales con respecto a los proyectos.</w:t>
            </w:r>
          </w:p>
          <w:p w:rsidR="008B378F" w:rsidRDefault="008B378F" w:rsidP="008B378F">
            <w:pPr>
              <w:rPr>
                <w:sz w:val="16"/>
                <w:szCs w:val="18"/>
              </w:rPr>
            </w:pPr>
          </w:p>
          <w:p w:rsidR="008B378F" w:rsidRDefault="008B378F" w:rsidP="008B378F">
            <w:pPr>
              <w:rPr>
                <w:sz w:val="16"/>
                <w:szCs w:val="18"/>
              </w:rPr>
            </w:pPr>
            <w:r>
              <w:rPr>
                <w:sz w:val="16"/>
                <w:szCs w:val="18"/>
              </w:rPr>
              <w:t xml:space="preserve"> </w:t>
            </w:r>
            <w:r w:rsidRPr="008B378F">
              <w:rPr>
                <w:sz w:val="16"/>
                <w:szCs w:val="18"/>
              </w:rPr>
              <w:t xml:space="preserve">- </w:t>
            </w:r>
            <w:r w:rsidR="00DF1DCC" w:rsidRPr="005E60C8">
              <w:rPr>
                <w:sz w:val="16"/>
                <w:szCs w:val="18"/>
              </w:rPr>
              <w:t>Atendido</w:t>
            </w:r>
            <w:r w:rsidR="00D61DF8">
              <w:rPr>
                <w:sz w:val="16"/>
                <w:szCs w:val="18"/>
              </w:rPr>
              <w:t>.</w:t>
            </w:r>
            <w:r w:rsidR="00DF1DCC" w:rsidRPr="005E60C8">
              <w:rPr>
                <w:sz w:val="16"/>
                <w:szCs w:val="18"/>
              </w:rPr>
              <w:t xml:space="preserve"> </w:t>
            </w:r>
            <w:r w:rsidR="00D61DF8">
              <w:rPr>
                <w:sz w:val="16"/>
                <w:szCs w:val="18"/>
              </w:rPr>
              <w:t>S</w:t>
            </w:r>
            <w:r w:rsidR="00DF1DCC">
              <w:rPr>
                <w:sz w:val="16"/>
                <w:szCs w:val="18"/>
              </w:rPr>
              <w:t>e incorporó en el proceso de revisión la forma en la que el Grupo de Interés emitirá sus comentarios.</w:t>
            </w:r>
          </w:p>
          <w:p w:rsidR="008B378F" w:rsidRPr="008B378F" w:rsidRDefault="008B378F" w:rsidP="008B378F">
            <w:pPr>
              <w:rPr>
                <w:sz w:val="16"/>
                <w:szCs w:val="18"/>
              </w:rPr>
            </w:pPr>
          </w:p>
          <w:p w:rsidR="008B378F" w:rsidRDefault="008B378F" w:rsidP="008B378F">
            <w:pPr>
              <w:rPr>
                <w:sz w:val="16"/>
                <w:szCs w:val="18"/>
              </w:rPr>
            </w:pPr>
          </w:p>
          <w:p w:rsidR="008B378F" w:rsidRDefault="008B378F" w:rsidP="008B378F">
            <w:pPr>
              <w:rPr>
                <w:sz w:val="16"/>
                <w:szCs w:val="18"/>
              </w:rPr>
            </w:pPr>
          </w:p>
          <w:p w:rsidR="008B378F" w:rsidRDefault="008B378F" w:rsidP="008B378F">
            <w:pPr>
              <w:rPr>
                <w:sz w:val="16"/>
                <w:szCs w:val="18"/>
              </w:rPr>
            </w:pPr>
          </w:p>
          <w:p w:rsidR="00B45EB4" w:rsidRDefault="008B378F" w:rsidP="008B378F">
            <w:pPr>
              <w:rPr>
                <w:sz w:val="16"/>
                <w:szCs w:val="18"/>
              </w:rPr>
            </w:pPr>
            <w:r>
              <w:rPr>
                <w:sz w:val="16"/>
                <w:szCs w:val="18"/>
              </w:rPr>
              <w:t xml:space="preserve">- </w:t>
            </w:r>
            <w:r w:rsidR="00B45EB4">
              <w:rPr>
                <w:sz w:val="16"/>
                <w:szCs w:val="18"/>
              </w:rPr>
              <w:t>Atendido.</w:t>
            </w:r>
          </w:p>
          <w:p w:rsidR="00B45EB4" w:rsidRDefault="00B45EB4" w:rsidP="008B378F">
            <w:pPr>
              <w:rPr>
                <w:sz w:val="16"/>
                <w:szCs w:val="18"/>
              </w:rPr>
            </w:pPr>
          </w:p>
          <w:p w:rsidR="00B45EB4" w:rsidRDefault="00B45EB4" w:rsidP="008B378F">
            <w:pPr>
              <w:rPr>
                <w:sz w:val="16"/>
                <w:szCs w:val="18"/>
              </w:rPr>
            </w:pPr>
          </w:p>
          <w:p w:rsidR="00B45EB4" w:rsidRDefault="00B45EB4" w:rsidP="008B378F">
            <w:pPr>
              <w:rPr>
                <w:sz w:val="16"/>
                <w:szCs w:val="18"/>
              </w:rPr>
            </w:pPr>
          </w:p>
          <w:p w:rsidR="00B45EB4" w:rsidRDefault="00B45EB4" w:rsidP="008B378F">
            <w:pPr>
              <w:rPr>
                <w:sz w:val="16"/>
                <w:szCs w:val="18"/>
              </w:rPr>
            </w:pPr>
            <w:r>
              <w:rPr>
                <w:sz w:val="16"/>
                <w:szCs w:val="18"/>
              </w:rPr>
              <w:t xml:space="preserve">- Atendido  </w:t>
            </w:r>
          </w:p>
          <w:p w:rsidR="00B45EB4" w:rsidRDefault="00B45EB4" w:rsidP="00B45EB4">
            <w:pPr>
              <w:rPr>
                <w:sz w:val="16"/>
                <w:szCs w:val="18"/>
              </w:rPr>
            </w:pPr>
          </w:p>
          <w:p w:rsidR="00B45EB4" w:rsidRDefault="00B45EB4" w:rsidP="00B45EB4">
            <w:pPr>
              <w:rPr>
                <w:sz w:val="16"/>
                <w:szCs w:val="18"/>
              </w:rPr>
            </w:pPr>
          </w:p>
          <w:p w:rsidR="00B45EB4" w:rsidRDefault="00B45EB4" w:rsidP="00B45EB4">
            <w:pPr>
              <w:rPr>
                <w:sz w:val="16"/>
                <w:szCs w:val="18"/>
              </w:rPr>
            </w:pPr>
          </w:p>
          <w:p w:rsidR="006F44B0" w:rsidRPr="00B45EB4" w:rsidRDefault="00C42B44" w:rsidP="00D948EB">
            <w:pPr>
              <w:rPr>
                <w:sz w:val="16"/>
                <w:szCs w:val="18"/>
              </w:rPr>
            </w:pPr>
            <w:r w:rsidRPr="008D2615">
              <w:rPr>
                <w:sz w:val="16"/>
                <w:szCs w:val="18"/>
              </w:rPr>
              <w:t xml:space="preserve">- </w:t>
            </w:r>
            <w:r w:rsidR="00D948EB" w:rsidRPr="008D2615">
              <w:rPr>
                <w:sz w:val="16"/>
                <w:szCs w:val="18"/>
              </w:rPr>
              <w:t>No se considera viable, ya que puede ser que se revise una norma existente, la cual no se clasifica como anteproyecto, asimismo se considera dejarlo como esta para mantener consistencia.</w:t>
            </w:r>
            <w:r w:rsidR="00D948EB">
              <w:rPr>
                <w:sz w:val="16"/>
                <w:szCs w:val="18"/>
              </w:rPr>
              <w:t xml:space="preserve"> </w:t>
            </w:r>
          </w:p>
        </w:tc>
      </w:tr>
      <w:tr w:rsidR="006F44B0" w:rsidTr="003A2EE2">
        <w:trPr>
          <w:trHeight w:val="691"/>
        </w:trPr>
        <w:tc>
          <w:tcPr>
            <w:tcW w:w="710" w:type="dxa"/>
            <w:tcBorders>
              <w:top w:val="single" w:sz="4" w:space="0" w:color="auto"/>
              <w:left w:val="single" w:sz="4" w:space="0" w:color="auto"/>
              <w:bottom w:val="single" w:sz="4" w:space="0" w:color="auto"/>
              <w:right w:val="single" w:sz="4" w:space="0" w:color="auto"/>
            </w:tcBorders>
            <w:vAlign w:val="center"/>
            <w:hideMark/>
          </w:tcPr>
          <w:p w:rsidR="006F44B0" w:rsidRDefault="006F44B0">
            <w:pPr>
              <w:jc w:val="center"/>
              <w:rPr>
                <w:rFonts w:ascii="Arial" w:hAnsi="Arial" w:cs="Arial"/>
                <w:sz w:val="16"/>
                <w:szCs w:val="18"/>
              </w:rPr>
            </w:pPr>
            <w:r>
              <w:rPr>
                <w:rFonts w:ascii="Arial" w:hAnsi="Arial" w:cs="Arial"/>
                <w:sz w:val="16"/>
                <w:szCs w:val="18"/>
              </w:rPr>
              <w:lastRenderedPageBreak/>
              <w:t>9</w:t>
            </w:r>
          </w:p>
        </w:tc>
        <w:tc>
          <w:tcPr>
            <w:tcW w:w="3147" w:type="dxa"/>
            <w:tcBorders>
              <w:top w:val="single" w:sz="4" w:space="0" w:color="auto"/>
              <w:left w:val="single" w:sz="4" w:space="0" w:color="auto"/>
              <w:bottom w:val="single" w:sz="4" w:space="0" w:color="auto"/>
              <w:right w:val="single" w:sz="4" w:space="0" w:color="auto"/>
            </w:tcBorders>
            <w:vAlign w:val="center"/>
            <w:hideMark/>
          </w:tcPr>
          <w:p w:rsidR="006F44B0" w:rsidRDefault="006F44B0">
            <w:pPr>
              <w:pStyle w:val="Default"/>
              <w:rPr>
                <w:rFonts w:ascii="Soberana Sans" w:hAnsi="Soberana Sans" w:cs="Times New Roman"/>
                <w:sz w:val="16"/>
                <w:szCs w:val="18"/>
              </w:rPr>
            </w:pPr>
            <w:r>
              <w:rPr>
                <w:rFonts w:ascii="Soberana Sans" w:hAnsi="Soberana Sans"/>
                <w:b/>
                <w:bCs/>
                <w:sz w:val="16"/>
                <w:szCs w:val="18"/>
              </w:rPr>
              <w:t>5.3 Definición</w:t>
            </w:r>
            <w:r>
              <w:rPr>
                <w:rFonts w:ascii="Soberana Sans" w:hAnsi="Soberana Sans" w:cs="Times New Roman"/>
                <w:sz w:val="16"/>
                <w:szCs w:val="18"/>
              </w:rPr>
              <w:t xml:space="preserve"> </w:t>
            </w:r>
          </w:p>
        </w:tc>
        <w:tc>
          <w:tcPr>
            <w:tcW w:w="4933" w:type="dxa"/>
            <w:tcBorders>
              <w:top w:val="single" w:sz="4" w:space="0" w:color="auto"/>
              <w:left w:val="single" w:sz="4" w:space="0" w:color="auto"/>
              <w:bottom w:val="single" w:sz="4" w:space="0" w:color="auto"/>
              <w:right w:val="single" w:sz="4" w:space="0" w:color="auto"/>
            </w:tcBorders>
          </w:tcPr>
          <w:p w:rsidR="00960FCA" w:rsidRPr="00E7121E" w:rsidRDefault="00960FCA">
            <w:pPr>
              <w:rPr>
                <w:sz w:val="16"/>
                <w:szCs w:val="18"/>
              </w:rPr>
            </w:pPr>
            <w:r w:rsidRPr="00E7121E">
              <w:rPr>
                <w:sz w:val="16"/>
                <w:szCs w:val="18"/>
              </w:rPr>
              <w:t xml:space="preserve">- </w:t>
            </w:r>
            <w:r w:rsidR="000D61FF" w:rsidRPr="00E7121E">
              <w:rPr>
                <w:sz w:val="16"/>
                <w:szCs w:val="18"/>
              </w:rPr>
              <w:t xml:space="preserve">La sugerencia va encaminada a evitar una parálisis en la revisión </w:t>
            </w:r>
            <w:r w:rsidRPr="00E7121E">
              <w:rPr>
                <w:sz w:val="16"/>
                <w:szCs w:val="18"/>
              </w:rPr>
              <w:t xml:space="preserve">de las normas y el proceso de MRI. Quizás un plazo holgado con una afirmativa ficta que promueva la actuación del GT. </w:t>
            </w:r>
          </w:p>
          <w:p w:rsidR="006F44B0" w:rsidRPr="00E7121E" w:rsidRDefault="00960FCA">
            <w:pPr>
              <w:rPr>
                <w:sz w:val="16"/>
                <w:szCs w:val="18"/>
              </w:rPr>
            </w:pPr>
            <w:r w:rsidRPr="00E7121E">
              <w:rPr>
                <w:sz w:val="16"/>
                <w:szCs w:val="18"/>
              </w:rPr>
              <w:t xml:space="preserve">Se considera necesario fijar un plazo para formalizar la </w:t>
            </w:r>
            <w:r w:rsidR="006C2B83" w:rsidRPr="00E7121E">
              <w:rPr>
                <w:sz w:val="16"/>
                <w:szCs w:val="18"/>
              </w:rPr>
              <w:t xml:space="preserve">cédula. </w:t>
            </w:r>
          </w:p>
        </w:tc>
        <w:tc>
          <w:tcPr>
            <w:tcW w:w="5103" w:type="dxa"/>
            <w:tcBorders>
              <w:top w:val="single" w:sz="4" w:space="0" w:color="auto"/>
              <w:left w:val="single" w:sz="4" w:space="0" w:color="auto"/>
              <w:bottom w:val="single" w:sz="4" w:space="0" w:color="auto"/>
              <w:right w:val="single" w:sz="4" w:space="0" w:color="auto"/>
            </w:tcBorders>
          </w:tcPr>
          <w:p w:rsidR="006F44B0" w:rsidRPr="00E7121E" w:rsidRDefault="00D948EB" w:rsidP="00E7121E">
            <w:pPr>
              <w:rPr>
                <w:sz w:val="16"/>
                <w:szCs w:val="18"/>
              </w:rPr>
            </w:pPr>
            <w:r w:rsidRPr="00E7121E">
              <w:rPr>
                <w:sz w:val="16"/>
                <w:szCs w:val="18"/>
              </w:rPr>
              <w:t xml:space="preserve">- </w:t>
            </w:r>
            <w:r w:rsidR="00E7121E" w:rsidRPr="00E7121E">
              <w:rPr>
                <w:sz w:val="16"/>
                <w:szCs w:val="18"/>
              </w:rPr>
              <w:t xml:space="preserve">Atendido. </w:t>
            </w:r>
            <w:r w:rsidR="00576A75" w:rsidRPr="00E7121E">
              <w:rPr>
                <w:sz w:val="16"/>
                <w:szCs w:val="18"/>
              </w:rPr>
              <w:t xml:space="preserve"> </w:t>
            </w:r>
            <w:r w:rsidR="00DF1DCC">
              <w:rPr>
                <w:sz w:val="16"/>
                <w:szCs w:val="18"/>
              </w:rPr>
              <w:t>Se establecieron 15 días hábiles para la elaboración de la “Cédula de Riesgos”</w:t>
            </w:r>
          </w:p>
        </w:tc>
      </w:tr>
      <w:tr w:rsidR="006F44B0" w:rsidTr="003A2EE2">
        <w:trPr>
          <w:trHeight w:val="691"/>
        </w:trPr>
        <w:tc>
          <w:tcPr>
            <w:tcW w:w="710" w:type="dxa"/>
            <w:tcBorders>
              <w:top w:val="single" w:sz="4" w:space="0" w:color="auto"/>
              <w:left w:val="single" w:sz="4" w:space="0" w:color="auto"/>
              <w:bottom w:val="single" w:sz="4" w:space="0" w:color="auto"/>
              <w:right w:val="single" w:sz="4" w:space="0" w:color="auto"/>
            </w:tcBorders>
            <w:vAlign w:val="center"/>
            <w:hideMark/>
          </w:tcPr>
          <w:p w:rsidR="006F44B0" w:rsidRDefault="006F44B0">
            <w:pPr>
              <w:jc w:val="center"/>
              <w:rPr>
                <w:rFonts w:ascii="Arial" w:hAnsi="Arial" w:cs="Arial"/>
                <w:sz w:val="16"/>
                <w:szCs w:val="18"/>
              </w:rPr>
            </w:pPr>
            <w:r>
              <w:rPr>
                <w:rFonts w:ascii="Arial" w:hAnsi="Arial" w:cs="Arial"/>
                <w:sz w:val="16"/>
                <w:szCs w:val="18"/>
              </w:rPr>
              <w:t>10</w:t>
            </w:r>
          </w:p>
        </w:tc>
        <w:tc>
          <w:tcPr>
            <w:tcW w:w="3147" w:type="dxa"/>
            <w:tcBorders>
              <w:top w:val="single" w:sz="4" w:space="0" w:color="auto"/>
              <w:left w:val="single" w:sz="4" w:space="0" w:color="auto"/>
              <w:bottom w:val="single" w:sz="4" w:space="0" w:color="auto"/>
              <w:right w:val="single" w:sz="4" w:space="0" w:color="auto"/>
            </w:tcBorders>
            <w:vAlign w:val="center"/>
            <w:hideMark/>
          </w:tcPr>
          <w:p w:rsidR="006F44B0" w:rsidRDefault="006F44B0">
            <w:pPr>
              <w:pStyle w:val="Default"/>
              <w:rPr>
                <w:rFonts w:ascii="Soberana Sans" w:hAnsi="Soberana Sans"/>
                <w:b/>
                <w:bCs/>
                <w:sz w:val="16"/>
                <w:szCs w:val="18"/>
              </w:rPr>
            </w:pPr>
            <w:r>
              <w:rPr>
                <w:rFonts w:ascii="Soberana Sans" w:hAnsi="Soberana Sans"/>
                <w:b/>
                <w:bCs/>
                <w:sz w:val="16"/>
                <w:szCs w:val="18"/>
              </w:rPr>
              <w:t>5.4 Autorización</w:t>
            </w:r>
            <w:r>
              <w:rPr>
                <w:rFonts w:ascii="Soberana Sans" w:hAnsi="Soberana Sans" w:cs="Times New Roman"/>
                <w:sz w:val="16"/>
                <w:szCs w:val="18"/>
              </w:rPr>
              <w:t xml:space="preserve"> </w:t>
            </w:r>
          </w:p>
        </w:tc>
        <w:tc>
          <w:tcPr>
            <w:tcW w:w="4933" w:type="dxa"/>
            <w:tcBorders>
              <w:top w:val="single" w:sz="4" w:space="0" w:color="auto"/>
              <w:left w:val="single" w:sz="4" w:space="0" w:color="auto"/>
              <w:bottom w:val="single" w:sz="4" w:space="0" w:color="auto"/>
              <w:right w:val="single" w:sz="4" w:space="0" w:color="auto"/>
            </w:tcBorders>
          </w:tcPr>
          <w:p w:rsidR="006F44B0" w:rsidRDefault="006C2B83">
            <w:pPr>
              <w:jc w:val="both"/>
              <w:rPr>
                <w:sz w:val="16"/>
                <w:szCs w:val="18"/>
              </w:rPr>
            </w:pPr>
            <w:r>
              <w:rPr>
                <w:sz w:val="16"/>
                <w:szCs w:val="18"/>
              </w:rPr>
              <w:t xml:space="preserve">- Se sugiere establecer plazos para al menos las siguientes acciones: </w:t>
            </w:r>
          </w:p>
          <w:p w:rsidR="006C2B83" w:rsidRDefault="006C2B83">
            <w:pPr>
              <w:jc w:val="both"/>
              <w:rPr>
                <w:sz w:val="16"/>
                <w:szCs w:val="18"/>
              </w:rPr>
            </w:pPr>
          </w:p>
          <w:p w:rsidR="006C2B83" w:rsidRDefault="006C2B83" w:rsidP="006C2B83">
            <w:pPr>
              <w:pStyle w:val="Prrafodelista"/>
              <w:numPr>
                <w:ilvl w:val="0"/>
                <w:numId w:val="2"/>
              </w:numPr>
              <w:jc w:val="both"/>
              <w:rPr>
                <w:sz w:val="16"/>
                <w:szCs w:val="18"/>
              </w:rPr>
            </w:pPr>
            <w:r>
              <w:rPr>
                <w:sz w:val="16"/>
                <w:szCs w:val="18"/>
              </w:rPr>
              <w:t>Notificar la conclusión del proceso interno de revisión.</w:t>
            </w:r>
          </w:p>
          <w:p w:rsidR="006C2B83" w:rsidRDefault="006C2B83" w:rsidP="006C2B83">
            <w:pPr>
              <w:pStyle w:val="Prrafodelista"/>
              <w:numPr>
                <w:ilvl w:val="0"/>
                <w:numId w:val="2"/>
              </w:numPr>
              <w:jc w:val="both"/>
              <w:rPr>
                <w:sz w:val="16"/>
                <w:szCs w:val="18"/>
              </w:rPr>
            </w:pPr>
            <w:r>
              <w:rPr>
                <w:sz w:val="16"/>
                <w:szCs w:val="18"/>
              </w:rPr>
              <w:t xml:space="preserve">Difusión de la norma interna eliminada y envío de la evidencia. </w:t>
            </w:r>
          </w:p>
          <w:p w:rsidR="006C2B83" w:rsidRPr="006C2B83" w:rsidRDefault="006C2B83" w:rsidP="006C2B83">
            <w:pPr>
              <w:pStyle w:val="Prrafodelista"/>
              <w:numPr>
                <w:ilvl w:val="0"/>
                <w:numId w:val="2"/>
              </w:numPr>
              <w:jc w:val="both"/>
              <w:rPr>
                <w:sz w:val="16"/>
                <w:szCs w:val="18"/>
              </w:rPr>
            </w:pPr>
            <w:r>
              <w:rPr>
                <w:sz w:val="16"/>
                <w:szCs w:val="18"/>
              </w:rPr>
              <w:t xml:space="preserve">Autorización de la norma actualizada o nueva por parte servidor público facultado. </w:t>
            </w:r>
          </w:p>
        </w:tc>
        <w:tc>
          <w:tcPr>
            <w:tcW w:w="5103" w:type="dxa"/>
            <w:tcBorders>
              <w:top w:val="single" w:sz="4" w:space="0" w:color="auto"/>
              <w:left w:val="single" w:sz="4" w:space="0" w:color="auto"/>
              <w:bottom w:val="single" w:sz="4" w:space="0" w:color="auto"/>
              <w:right w:val="single" w:sz="4" w:space="0" w:color="auto"/>
            </w:tcBorders>
          </w:tcPr>
          <w:p w:rsidR="006F44B0" w:rsidRDefault="00935D1D">
            <w:pPr>
              <w:jc w:val="both"/>
              <w:rPr>
                <w:sz w:val="16"/>
                <w:szCs w:val="18"/>
              </w:rPr>
            </w:pPr>
            <w:r>
              <w:rPr>
                <w:sz w:val="16"/>
                <w:szCs w:val="18"/>
              </w:rPr>
              <w:t xml:space="preserve">- Los plazos corresponden a las UA, por lo que es variable y dependen de varios factores.  </w:t>
            </w:r>
          </w:p>
        </w:tc>
      </w:tr>
      <w:tr w:rsidR="006F44B0" w:rsidTr="003A2EE2">
        <w:trPr>
          <w:cantSplit/>
        </w:trPr>
        <w:tc>
          <w:tcPr>
            <w:tcW w:w="710" w:type="dxa"/>
            <w:tcBorders>
              <w:top w:val="single" w:sz="4" w:space="0" w:color="auto"/>
              <w:left w:val="single" w:sz="4" w:space="0" w:color="auto"/>
              <w:bottom w:val="single" w:sz="4" w:space="0" w:color="auto"/>
              <w:right w:val="single" w:sz="4" w:space="0" w:color="auto"/>
            </w:tcBorders>
            <w:vAlign w:val="center"/>
          </w:tcPr>
          <w:p w:rsidR="006F44B0" w:rsidRDefault="006F44B0">
            <w:pPr>
              <w:jc w:val="center"/>
              <w:rPr>
                <w:rFonts w:ascii="Arial" w:hAnsi="Arial" w:cs="Arial"/>
                <w:sz w:val="16"/>
                <w:szCs w:val="18"/>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6F44B0" w:rsidRDefault="006F44B0">
            <w:pPr>
              <w:pStyle w:val="Default"/>
              <w:rPr>
                <w:rFonts w:ascii="Soberana Sans" w:hAnsi="Soberana Sans"/>
                <w:b/>
                <w:bCs/>
                <w:sz w:val="16"/>
                <w:szCs w:val="18"/>
              </w:rPr>
            </w:pPr>
            <w:r>
              <w:rPr>
                <w:rFonts w:ascii="Soberana Sans" w:hAnsi="Soberana Sans"/>
                <w:b/>
                <w:bCs/>
                <w:sz w:val="16"/>
                <w:szCs w:val="18"/>
              </w:rPr>
              <w:t>5.5 Difusión y registro</w:t>
            </w:r>
            <w:r>
              <w:rPr>
                <w:rFonts w:ascii="Soberana Sans" w:hAnsi="Soberana Sans" w:cs="Times New Roman"/>
                <w:sz w:val="16"/>
                <w:szCs w:val="18"/>
              </w:rPr>
              <w:t xml:space="preserve"> </w:t>
            </w:r>
          </w:p>
        </w:tc>
        <w:tc>
          <w:tcPr>
            <w:tcW w:w="4933" w:type="dxa"/>
            <w:tcBorders>
              <w:top w:val="single" w:sz="4" w:space="0" w:color="auto"/>
              <w:left w:val="single" w:sz="4" w:space="0" w:color="auto"/>
              <w:bottom w:val="single" w:sz="4" w:space="0" w:color="auto"/>
              <w:right w:val="single" w:sz="4" w:space="0" w:color="auto"/>
            </w:tcBorders>
          </w:tcPr>
          <w:p w:rsidR="006C2B83" w:rsidRDefault="006C2B83" w:rsidP="006C2B83">
            <w:pPr>
              <w:jc w:val="both"/>
              <w:rPr>
                <w:sz w:val="16"/>
                <w:szCs w:val="18"/>
              </w:rPr>
            </w:pPr>
            <w:r>
              <w:rPr>
                <w:sz w:val="16"/>
                <w:szCs w:val="18"/>
              </w:rPr>
              <w:t xml:space="preserve">- Se sugiere establecer plazos para al menos las siguientes acciones: </w:t>
            </w:r>
          </w:p>
          <w:p w:rsidR="006F44B0" w:rsidRDefault="006F44B0" w:rsidP="007D438D">
            <w:pPr>
              <w:rPr>
                <w:sz w:val="16"/>
                <w:szCs w:val="18"/>
              </w:rPr>
            </w:pPr>
          </w:p>
          <w:p w:rsidR="006C2B83" w:rsidRDefault="006C2B83" w:rsidP="006C2B83">
            <w:pPr>
              <w:pStyle w:val="Prrafodelista"/>
              <w:numPr>
                <w:ilvl w:val="0"/>
                <w:numId w:val="3"/>
              </w:numPr>
              <w:rPr>
                <w:sz w:val="16"/>
                <w:szCs w:val="18"/>
              </w:rPr>
            </w:pPr>
            <w:r>
              <w:rPr>
                <w:sz w:val="16"/>
                <w:szCs w:val="18"/>
              </w:rPr>
              <w:t xml:space="preserve">Publicación de la disposición en la </w:t>
            </w:r>
            <w:proofErr w:type="spellStart"/>
            <w:r>
              <w:rPr>
                <w:sz w:val="16"/>
                <w:szCs w:val="18"/>
              </w:rPr>
              <w:t>normateca</w:t>
            </w:r>
            <w:proofErr w:type="spellEnd"/>
            <w:r>
              <w:rPr>
                <w:sz w:val="16"/>
                <w:szCs w:val="18"/>
              </w:rPr>
              <w:t xml:space="preserve"> interna.</w:t>
            </w:r>
          </w:p>
          <w:p w:rsidR="006C2B83" w:rsidRPr="006C2B83" w:rsidRDefault="006C2B83" w:rsidP="006C2B83">
            <w:pPr>
              <w:pStyle w:val="Prrafodelista"/>
              <w:numPr>
                <w:ilvl w:val="0"/>
                <w:numId w:val="3"/>
              </w:numPr>
              <w:rPr>
                <w:sz w:val="16"/>
                <w:szCs w:val="18"/>
              </w:rPr>
            </w:pPr>
            <w:r>
              <w:rPr>
                <w:sz w:val="16"/>
                <w:szCs w:val="18"/>
              </w:rPr>
              <w:t xml:space="preserve">Registro en el SANI-APF. </w:t>
            </w:r>
          </w:p>
        </w:tc>
        <w:tc>
          <w:tcPr>
            <w:tcW w:w="5103" w:type="dxa"/>
            <w:tcBorders>
              <w:top w:val="single" w:sz="4" w:space="0" w:color="auto"/>
              <w:left w:val="single" w:sz="4" w:space="0" w:color="auto"/>
              <w:bottom w:val="single" w:sz="4" w:space="0" w:color="auto"/>
              <w:right w:val="single" w:sz="4" w:space="0" w:color="auto"/>
            </w:tcBorders>
          </w:tcPr>
          <w:p w:rsidR="00CD0E91" w:rsidRDefault="00CD0E91" w:rsidP="007D438D">
            <w:pPr>
              <w:rPr>
                <w:sz w:val="16"/>
                <w:szCs w:val="18"/>
              </w:rPr>
            </w:pPr>
          </w:p>
          <w:p w:rsidR="00B75EF4" w:rsidRDefault="00B75EF4" w:rsidP="007D438D">
            <w:pPr>
              <w:rPr>
                <w:sz w:val="16"/>
                <w:szCs w:val="18"/>
              </w:rPr>
            </w:pPr>
          </w:p>
          <w:p w:rsidR="00DF1DCC" w:rsidRDefault="00D61DF8" w:rsidP="00DF1DCC">
            <w:pPr>
              <w:rPr>
                <w:sz w:val="16"/>
                <w:szCs w:val="18"/>
              </w:rPr>
            </w:pPr>
            <w:r>
              <w:rPr>
                <w:sz w:val="16"/>
                <w:szCs w:val="18"/>
              </w:rPr>
              <w:t>-  Atendido. S</w:t>
            </w:r>
            <w:r w:rsidR="00CD0E91">
              <w:rPr>
                <w:sz w:val="16"/>
                <w:szCs w:val="18"/>
              </w:rPr>
              <w:t>e estableció</w:t>
            </w:r>
            <w:r w:rsidR="00DF1DCC">
              <w:rPr>
                <w:sz w:val="16"/>
                <w:szCs w:val="18"/>
              </w:rPr>
              <w:t xml:space="preserve"> como</w:t>
            </w:r>
            <w:r w:rsidR="00CD0E91">
              <w:rPr>
                <w:sz w:val="16"/>
                <w:szCs w:val="18"/>
              </w:rPr>
              <w:t xml:space="preserve"> plazo para publicar la disposición en </w:t>
            </w:r>
            <w:proofErr w:type="gramStart"/>
            <w:r w:rsidR="00CD0E91">
              <w:rPr>
                <w:sz w:val="16"/>
                <w:szCs w:val="18"/>
              </w:rPr>
              <w:t>la</w:t>
            </w:r>
            <w:proofErr w:type="gramEnd"/>
            <w:r w:rsidR="00CD0E91">
              <w:rPr>
                <w:sz w:val="16"/>
                <w:szCs w:val="18"/>
              </w:rPr>
              <w:t xml:space="preserve"> NI</w:t>
            </w:r>
            <w:r w:rsidR="00DF1DCC">
              <w:rPr>
                <w:sz w:val="16"/>
                <w:szCs w:val="18"/>
              </w:rPr>
              <w:t>, 5 días hábiles posteriores a la autorización.</w:t>
            </w:r>
          </w:p>
          <w:p w:rsidR="00CD0E91" w:rsidRDefault="00CD0E91" w:rsidP="00DF1DCC">
            <w:pPr>
              <w:rPr>
                <w:sz w:val="16"/>
                <w:szCs w:val="18"/>
              </w:rPr>
            </w:pPr>
            <w:r>
              <w:rPr>
                <w:sz w:val="16"/>
                <w:szCs w:val="18"/>
              </w:rPr>
              <w:t xml:space="preserve"> </w:t>
            </w:r>
          </w:p>
        </w:tc>
      </w:tr>
      <w:tr w:rsidR="006F44B0" w:rsidTr="003A2EE2">
        <w:trPr>
          <w:trHeight w:val="691"/>
        </w:trPr>
        <w:tc>
          <w:tcPr>
            <w:tcW w:w="710" w:type="dxa"/>
            <w:tcBorders>
              <w:top w:val="single" w:sz="4" w:space="0" w:color="auto"/>
              <w:left w:val="single" w:sz="4" w:space="0" w:color="auto"/>
              <w:bottom w:val="single" w:sz="4" w:space="0" w:color="auto"/>
              <w:right w:val="single" w:sz="4" w:space="0" w:color="auto"/>
            </w:tcBorders>
            <w:vAlign w:val="center"/>
          </w:tcPr>
          <w:p w:rsidR="006F44B0" w:rsidRDefault="006F44B0">
            <w:pPr>
              <w:jc w:val="center"/>
              <w:rPr>
                <w:rFonts w:ascii="Arial" w:hAnsi="Arial" w:cs="Arial"/>
                <w:sz w:val="16"/>
                <w:szCs w:val="18"/>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6F44B0" w:rsidRDefault="006F44B0">
            <w:pPr>
              <w:pStyle w:val="Default"/>
              <w:rPr>
                <w:rFonts w:ascii="Soberana Sans" w:hAnsi="Soberana Sans"/>
                <w:b/>
                <w:bCs/>
                <w:sz w:val="16"/>
                <w:szCs w:val="18"/>
              </w:rPr>
            </w:pPr>
            <w:r>
              <w:rPr>
                <w:rFonts w:ascii="Soberana Sans" w:hAnsi="Soberana Sans"/>
                <w:b/>
                <w:bCs/>
                <w:sz w:val="16"/>
                <w:szCs w:val="18"/>
              </w:rPr>
              <w:t>6. Lineamientos generales</w:t>
            </w:r>
            <w:r>
              <w:rPr>
                <w:rFonts w:ascii="Soberana Sans" w:hAnsi="Soberana Sans" w:cs="Times New Roman"/>
                <w:sz w:val="16"/>
                <w:szCs w:val="18"/>
              </w:rPr>
              <w:t xml:space="preserve"> </w:t>
            </w:r>
          </w:p>
        </w:tc>
        <w:tc>
          <w:tcPr>
            <w:tcW w:w="4933" w:type="dxa"/>
            <w:tcBorders>
              <w:top w:val="single" w:sz="4" w:space="0" w:color="auto"/>
              <w:left w:val="single" w:sz="4" w:space="0" w:color="auto"/>
              <w:bottom w:val="single" w:sz="4" w:space="0" w:color="auto"/>
              <w:right w:val="single" w:sz="4" w:space="0" w:color="auto"/>
            </w:tcBorders>
          </w:tcPr>
          <w:p w:rsidR="006F44B0" w:rsidRDefault="00762867">
            <w:pPr>
              <w:jc w:val="both"/>
              <w:rPr>
                <w:sz w:val="16"/>
                <w:szCs w:val="18"/>
              </w:rPr>
            </w:pPr>
            <w:r>
              <w:rPr>
                <w:sz w:val="16"/>
                <w:szCs w:val="18"/>
              </w:rPr>
              <w:t xml:space="preserve">- No, aparece en el apartado 7. </w:t>
            </w:r>
            <w:r w:rsidR="00AE249C">
              <w:rPr>
                <w:sz w:val="16"/>
                <w:szCs w:val="18"/>
              </w:rPr>
              <w:t>Vigilancia</w:t>
            </w:r>
            <w:r>
              <w:rPr>
                <w:sz w:val="16"/>
                <w:szCs w:val="18"/>
              </w:rPr>
              <w:t xml:space="preserve"> de los </w:t>
            </w:r>
            <w:r w:rsidR="00AE249C">
              <w:rPr>
                <w:sz w:val="16"/>
                <w:szCs w:val="18"/>
              </w:rPr>
              <w:t>Lineamientos Generales.</w:t>
            </w:r>
          </w:p>
        </w:tc>
        <w:tc>
          <w:tcPr>
            <w:tcW w:w="5103" w:type="dxa"/>
            <w:tcBorders>
              <w:top w:val="single" w:sz="4" w:space="0" w:color="auto"/>
              <w:left w:val="single" w:sz="4" w:space="0" w:color="auto"/>
              <w:bottom w:val="single" w:sz="4" w:space="0" w:color="auto"/>
              <w:right w:val="single" w:sz="4" w:space="0" w:color="auto"/>
            </w:tcBorders>
          </w:tcPr>
          <w:p w:rsidR="006F44B0" w:rsidRDefault="003C6B8F" w:rsidP="003C6B8F">
            <w:pPr>
              <w:jc w:val="both"/>
              <w:rPr>
                <w:sz w:val="16"/>
                <w:szCs w:val="18"/>
              </w:rPr>
            </w:pPr>
            <w:r>
              <w:rPr>
                <w:sz w:val="16"/>
                <w:szCs w:val="18"/>
              </w:rPr>
              <w:t xml:space="preserve">- </w:t>
            </w:r>
            <w:r w:rsidR="00DF1DCC">
              <w:rPr>
                <w:sz w:val="16"/>
                <w:szCs w:val="18"/>
              </w:rPr>
              <w:t>Se agregó el Lineamiento General 5.4</w:t>
            </w:r>
          </w:p>
        </w:tc>
      </w:tr>
      <w:tr w:rsidR="006F44B0" w:rsidTr="003A2EE2">
        <w:trPr>
          <w:trHeight w:val="691"/>
        </w:trPr>
        <w:tc>
          <w:tcPr>
            <w:tcW w:w="710" w:type="dxa"/>
            <w:tcBorders>
              <w:top w:val="single" w:sz="4" w:space="0" w:color="auto"/>
              <w:left w:val="single" w:sz="4" w:space="0" w:color="auto"/>
              <w:bottom w:val="single" w:sz="4" w:space="0" w:color="auto"/>
              <w:right w:val="single" w:sz="4" w:space="0" w:color="auto"/>
            </w:tcBorders>
            <w:vAlign w:val="center"/>
          </w:tcPr>
          <w:p w:rsidR="006F44B0" w:rsidRDefault="006F44B0">
            <w:pPr>
              <w:jc w:val="center"/>
              <w:rPr>
                <w:rFonts w:ascii="Arial" w:hAnsi="Arial" w:cs="Arial"/>
                <w:sz w:val="16"/>
                <w:szCs w:val="18"/>
              </w:rPr>
            </w:pPr>
          </w:p>
        </w:tc>
        <w:tc>
          <w:tcPr>
            <w:tcW w:w="3147" w:type="dxa"/>
            <w:tcBorders>
              <w:top w:val="single" w:sz="4" w:space="0" w:color="auto"/>
              <w:left w:val="single" w:sz="4" w:space="0" w:color="auto"/>
              <w:bottom w:val="single" w:sz="4" w:space="0" w:color="auto"/>
              <w:right w:val="single" w:sz="4" w:space="0" w:color="auto"/>
            </w:tcBorders>
            <w:vAlign w:val="center"/>
          </w:tcPr>
          <w:p w:rsidR="006F44B0" w:rsidRDefault="006F44B0">
            <w:pPr>
              <w:jc w:val="both"/>
              <w:rPr>
                <w:sz w:val="16"/>
                <w:szCs w:val="18"/>
              </w:rPr>
            </w:pPr>
            <w:r>
              <w:rPr>
                <w:rFonts w:ascii="Arial" w:hAnsi="Arial" w:cs="Arial"/>
                <w:sz w:val="16"/>
                <w:szCs w:val="18"/>
              </w:rPr>
              <w:t xml:space="preserve">Por otra parte, enfatizar en el documento que será responsabilidad de las UAE mantener actualizadas las normas internas administrativas y sustantivas en la </w:t>
            </w:r>
            <w:proofErr w:type="spellStart"/>
            <w:r>
              <w:rPr>
                <w:rFonts w:ascii="Arial" w:hAnsi="Arial" w:cs="Arial"/>
                <w:sz w:val="16"/>
                <w:szCs w:val="18"/>
              </w:rPr>
              <w:t>normateca</w:t>
            </w:r>
            <w:proofErr w:type="spellEnd"/>
            <w:r>
              <w:rPr>
                <w:rFonts w:ascii="Arial" w:hAnsi="Arial" w:cs="Arial"/>
                <w:sz w:val="16"/>
                <w:szCs w:val="18"/>
              </w:rPr>
              <w:t xml:space="preserve"> interna de la SCT, por lo que se consideraran invalidas aquellas que no fueran informadas en los plazos establecidos en el PTRNI, por lo que se dará vista al OIC para determinar lo conducente.</w:t>
            </w:r>
          </w:p>
        </w:tc>
        <w:tc>
          <w:tcPr>
            <w:tcW w:w="4933" w:type="dxa"/>
            <w:tcBorders>
              <w:top w:val="single" w:sz="4" w:space="0" w:color="auto"/>
              <w:left w:val="single" w:sz="4" w:space="0" w:color="auto"/>
              <w:bottom w:val="single" w:sz="4" w:space="0" w:color="auto"/>
              <w:right w:val="single" w:sz="4" w:space="0" w:color="auto"/>
            </w:tcBorders>
          </w:tcPr>
          <w:p w:rsidR="006F44B0" w:rsidRDefault="007C57B3">
            <w:pPr>
              <w:jc w:val="both"/>
              <w:rPr>
                <w:sz w:val="16"/>
                <w:szCs w:val="18"/>
              </w:rPr>
            </w:pPr>
            <w:r>
              <w:rPr>
                <w:sz w:val="16"/>
                <w:szCs w:val="18"/>
              </w:rPr>
              <w:t xml:space="preserve">- </w:t>
            </w:r>
            <w:r w:rsidR="00A5306F">
              <w:rPr>
                <w:sz w:val="16"/>
                <w:szCs w:val="18"/>
              </w:rPr>
              <w:t xml:space="preserve">Con el propósito de contar con un inventario de normas actualizado y publicado en la </w:t>
            </w:r>
            <w:proofErr w:type="spellStart"/>
            <w:r w:rsidR="00A5306F">
              <w:rPr>
                <w:sz w:val="16"/>
                <w:szCs w:val="18"/>
              </w:rPr>
              <w:t>normateca</w:t>
            </w:r>
            <w:proofErr w:type="spellEnd"/>
            <w:r w:rsidR="00A5306F">
              <w:rPr>
                <w:sz w:val="16"/>
                <w:szCs w:val="18"/>
              </w:rPr>
              <w:t xml:space="preserve"> interna, es importante señalar en los presentes lineamientos que si las UAE no informan la relación actualizada de las normas internas sustantivas y/o administrativas vigentes conforme los plazos establecidos en el PTRNI, se dará vista al OIC para determinar lo conducente”. </w:t>
            </w:r>
          </w:p>
        </w:tc>
        <w:tc>
          <w:tcPr>
            <w:tcW w:w="5103" w:type="dxa"/>
            <w:tcBorders>
              <w:top w:val="single" w:sz="4" w:space="0" w:color="auto"/>
              <w:left w:val="single" w:sz="4" w:space="0" w:color="auto"/>
              <w:bottom w:val="single" w:sz="4" w:space="0" w:color="auto"/>
              <w:right w:val="single" w:sz="4" w:space="0" w:color="auto"/>
            </w:tcBorders>
          </w:tcPr>
          <w:p w:rsidR="006F44B0" w:rsidRDefault="00990804" w:rsidP="00B73819">
            <w:pPr>
              <w:jc w:val="both"/>
              <w:rPr>
                <w:sz w:val="16"/>
                <w:szCs w:val="18"/>
              </w:rPr>
            </w:pPr>
            <w:r>
              <w:rPr>
                <w:sz w:val="16"/>
                <w:szCs w:val="18"/>
              </w:rPr>
              <w:t>-</w:t>
            </w:r>
            <w:r w:rsidR="00DF1DCC">
              <w:rPr>
                <w:sz w:val="16"/>
                <w:szCs w:val="18"/>
              </w:rPr>
              <w:t xml:space="preserve">El lineamiento general 5.1 establece que será responsabilidad de las UAE Y UAA mantener actualizado el marco normativo de acuerdo a lo </w:t>
            </w:r>
            <w:r w:rsidR="00B73819">
              <w:rPr>
                <w:sz w:val="16"/>
                <w:szCs w:val="18"/>
              </w:rPr>
              <w:t>establecido en los Lineamientos.</w:t>
            </w:r>
          </w:p>
          <w:p w:rsidR="00B73819" w:rsidRDefault="00B73819" w:rsidP="00B73819">
            <w:pPr>
              <w:jc w:val="both"/>
              <w:rPr>
                <w:sz w:val="16"/>
                <w:szCs w:val="18"/>
              </w:rPr>
            </w:pPr>
          </w:p>
          <w:p w:rsidR="00B73819" w:rsidRDefault="00B73819" w:rsidP="00B73819">
            <w:pPr>
              <w:jc w:val="both"/>
              <w:rPr>
                <w:sz w:val="16"/>
                <w:szCs w:val="18"/>
              </w:rPr>
            </w:pPr>
            <w:r>
              <w:rPr>
                <w:sz w:val="16"/>
                <w:szCs w:val="18"/>
              </w:rPr>
              <w:t>Se agregó el lineamiento general 5.2. que dice:</w:t>
            </w:r>
          </w:p>
          <w:p w:rsidR="00B73819" w:rsidRDefault="00B73819" w:rsidP="00B73819">
            <w:pPr>
              <w:jc w:val="both"/>
              <w:rPr>
                <w:sz w:val="16"/>
                <w:szCs w:val="18"/>
              </w:rPr>
            </w:pPr>
            <w:r>
              <w:rPr>
                <w:sz w:val="16"/>
                <w:szCs w:val="18"/>
              </w:rPr>
              <w:t>“E</w:t>
            </w:r>
            <w:r w:rsidRPr="00B73819">
              <w:rPr>
                <w:sz w:val="16"/>
                <w:szCs w:val="18"/>
              </w:rPr>
              <w:t xml:space="preserve">s responsabilidad de los titulares de las Unidades Administrativas Emisoras y </w:t>
            </w:r>
            <w:proofErr w:type="spellStart"/>
            <w:r w:rsidRPr="00B73819">
              <w:rPr>
                <w:sz w:val="16"/>
                <w:szCs w:val="18"/>
              </w:rPr>
              <w:t>Promoventes</w:t>
            </w:r>
            <w:proofErr w:type="spellEnd"/>
            <w:r w:rsidRPr="00B73819">
              <w:rPr>
                <w:sz w:val="16"/>
                <w:szCs w:val="18"/>
              </w:rPr>
              <w:t xml:space="preserve"> vigilar que la normatividad interna que los regula se encuentre dentro del inventario</w:t>
            </w:r>
            <w:r>
              <w:rPr>
                <w:sz w:val="16"/>
                <w:szCs w:val="18"/>
              </w:rPr>
              <w:t xml:space="preserve"> de normas internas de la SCT”</w:t>
            </w:r>
          </w:p>
        </w:tc>
      </w:tr>
      <w:tr w:rsidR="006F44B0" w:rsidTr="003A2EE2">
        <w:trPr>
          <w:trHeight w:val="743"/>
        </w:trPr>
        <w:tc>
          <w:tcPr>
            <w:tcW w:w="710" w:type="dxa"/>
            <w:tcBorders>
              <w:top w:val="single" w:sz="4" w:space="0" w:color="auto"/>
              <w:left w:val="single" w:sz="4" w:space="0" w:color="auto"/>
              <w:bottom w:val="single" w:sz="4" w:space="0" w:color="auto"/>
              <w:right w:val="single" w:sz="4" w:space="0" w:color="auto"/>
            </w:tcBorders>
            <w:vAlign w:val="center"/>
          </w:tcPr>
          <w:p w:rsidR="006F44B0" w:rsidRDefault="006F44B0">
            <w:pPr>
              <w:jc w:val="center"/>
              <w:rPr>
                <w:rFonts w:ascii="Arial" w:hAnsi="Arial" w:cs="Arial"/>
                <w:sz w:val="16"/>
                <w:szCs w:val="18"/>
              </w:rPr>
            </w:pPr>
          </w:p>
        </w:tc>
        <w:tc>
          <w:tcPr>
            <w:tcW w:w="3147" w:type="dxa"/>
            <w:tcBorders>
              <w:top w:val="single" w:sz="4" w:space="0" w:color="auto"/>
              <w:left w:val="single" w:sz="4" w:space="0" w:color="auto"/>
              <w:bottom w:val="single" w:sz="4" w:space="0" w:color="auto"/>
              <w:right w:val="single" w:sz="4" w:space="0" w:color="auto"/>
            </w:tcBorders>
            <w:vAlign w:val="center"/>
          </w:tcPr>
          <w:p w:rsidR="006F44B0" w:rsidRDefault="006F44B0">
            <w:pPr>
              <w:rPr>
                <w:rFonts w:ascii="Arial" w:hAnsi="Arial" w:cs="Arial"/>
                <w:sz w:val="16"/>
                <w:szCs w:val="17"/>
              </w:rPr>
            </w:pPr>
            <w:r>
              <w:rPr>
                <w:rFonts w:ascii="Arial" w:hAnsi="Arial" w:cs="Arial"/>
                <w:sz w:val="16"/>
                <w:szCs w:val="17"/>
              </w:rPr>
              <w:t>Se sugiere valorar la factibilidad de incorporar un apartado que indique el procedimiento o plazos internos para las normas que se presentaran a la COFEMER, a fin de contar con un documento que regule la emisión de instrumentos o disposiciones normativos en la SCT.</w:t>
            </w:r>
          </w:p>
        </w:tc>
        <w:tc>
          <w:tcPr>
            <w:tcW w:w="4933" w:type="dxa"/>
            <w:tcBorders>
              <w:top w:val="single" w:sz="4" w:space="0" w:color="auto"/>
              <w:left w:val="single" w:sz="4" w:space="0" w:color="auto"/>
              <w:bottom w:val="single" w:sz="4" w:space="0" w:color="auto"/>
              <w:right w:val="single" w:sz="4" w:space="0" w:color="auto"/>
            </w:tcBorders>
          </w:tcPr>
          <w:p w:rsidR="006F44B0" w:rsidRPr="00B73819" w:rsidRDefault="00C547A9">
            <w:pPr>
              <w:jc w:val="both"/>
              <w:rPr>
                <w:sz w:val="16"/>
                <w:szCs w:val="18"/>
              </w:rPr>
            </w:pPr>
            <w:r w:rsidRPr="00B73819">
              <w:rPr>
                <w:sz w:val="16"/>
                <w:szCs w:val="18"/>
              </w:rPr>
              <w:t xml:space="preserve">- </w:t>
            </w:r>
            <w:r w:rsidR="00605109" w:rsidRPr="00B73819">
              <w:rPr>
                <w:sz w:val="16"/>
                <w:szCs w:val="18"/>
              </w:rPr>
              <w:t xml:space="preserve">En espera a la atención del comentario. </w:t>
            </w:r>
          </w:p>
        </w:tc>
        <w:tc>
          <w:tcPr>
            <w:tcW w:w="5103" w:type="dxa"/>
            <w:tcBorders>
              <w:top w:val="single" w:sz="4" w:space="0" w:color="auto"/>
              <w:left w:val="single" w:sz="4" w:space="0" w:color="auto"/>
              <w:bottom w:val="single" w:sz="4" w:space="0" w:color="auto"/>
              <w:right w:val="single" w:sz="4" w:space="0" w:color="auto"/>
            </w:tcBorders>
          </w:tcPr>
          <w:p w:rsidR="006F44B0" w:rsidRPr="00B73819" w:rsidRDefault="00C547A9" w:rsidP="00D07E2D">
            <w:pPr>
              <w:jc w:val="both"/>
              <w:rPr>
                <w:sz w:val="16"/>
                <w:szCs w:val="18"/>
              </w:rPr>
            </w:pPr>
            <w:r w:rsidRPr="00B73819">
              <w:rPr>
                <w:sz w:val="16"/>
                <w:szCs w:val="18"/>
              </w:rPr>
              <w:t xml:space="preserve">- </w:t>
            </w:r>
            <w:r w:rsidR="00D07E2D" w:rsidRPr="00B73819">
              <w:rPr>
                <w:sz w:val="16"/>
                <w:szCs w:val="18"/>
              </w:rPr>
              <w:t>La Oficialía Mayor a través</w:t>
            </w:r>
            <w:r w:rsidR="00D61DF8">
              <w:rPr>
                <w:sz w:val="16"/>
                <w:szCs w:val="18"/>
              </w:rPr>
              <w:t xml:space="preserve"> de la cédula de riesgos comentó</w:t>
            </w:r>
            <w:r w:rsidR="00D07E2D" w:rsidRPr="00B73819">
              <w:rPr>
                <w:sz w:val="16"/>
                <w:szCs w:val="18"/>
              </w:rPr>
              <w:t xml:space="preserve"> que ha revisado las actividades que realizará, como integrante del Grupo de Trabajo, así como el proceso de Mejora Regulatoria para Normas Externas, sin tener comentarios adicionales.</w:t>
            </w:r>
          </w:p>
        </w:tc>
      </w:tr>
    </w:tbl>
    <w:p w:rsidR="00C62AAC" w:rsidRDefault="00C62AAC" w:rsidP="001D7797">
      <w:pPr>
        <w:spacing w:after="0" w:line="240" w:lineRule="auto"/>
        <w:rPr>
          <w:rFonts w:ascii="Soberana Sans" w:hAnsi="Soberana Sans"/>
          <w:sz w:val="20"/>
          <w:szCs w:val="20"/>
        </w:rPr>
      </w:pPr>
    </w:p>
    <w:p w:rsidR="00C62AAC" w:rsidRPr="00C62AAC" w:rsidRDefault="00C62AAC" w:rsidP="001D7797">
      <w:pPr>
        <w:spacing w:after="0" w:line="240" w:lineRule="auto"/>
        <w:rPr>
          <w:rFonts w:ascii="Soberana Sans" w:hAnsi="Soberana Sans"/>
          <w:sz w:val="20"/>
          <w:szCs w:val="20"/>
        </w:rPr>
      </w:pPr>
    </w:p>
    <w:p w:rsidR="00241944" w:rsidRDefault="00241944" w:rsidP="001D7797">
      <w:pPr>
        <w:spacing w:after="0" w:line="240" w:lineRule="auto"/>
        <w:rPr>
          <w:rFonts w:ascii="Soberana Sans" w:hAnsi="Soberana Sans"/>
          <w:b/>
          <w:sz w:val="20"/>
          <w:szCs w:val="20"/>
        </w:rPr>
      </w:pPr>
    </w:p>
    <w:p w:rsidR="00241944" w:rsidRDefault="00241944" w:rsidP="001D7797">
      <w:pPr>
        <w:spacing w:after="0" w:line="240" w:lineRule="auto"/>
        <w:rPr>
          <w:rFonts w:ascii="Soberana Sans" w:hAnsi="Soberana Sans"/>
          <w:b/>
          <w:sz w:val="20"/>
          <w:szCs w:val="20"/>
        </w:rPr>
      </w:pPr>
    </w:p>
    <w:sectPr w:rsidR="00241944" w:rsidSect="00C62AAC">
      <w:headerReference w:type="default" r:id="rId9"/>
      <w:footerReference w:type="default" r:id="rId10"/>
      <w:pgSz w:w="15840" w:h="12240" w:orient="landscape"/>
      <w:pgMar w:top="1077" w:right="992" w:bottom="1418" w:left="1440"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76" w:rsidRDefault="00C07176">
      <w:pPr>
        <w:spacing w:after="0" w:line="240" w:lineRule="auto"/>
      </w:pPr>
      <w:r>
        <w:separator/>
      </w:r>
    </w:p>
  </w:endnote>
  <w:endnote w:type="continuationSeparator" w:id="0">
    <w:p w:rsidR="00C07176" w:rsidRDefault="00C0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berana Sans">
    <w:panose1 w:val="02000000000000000000"/>
    <w:charset w:val="00"/>
    <w:family w:val="auto"/>
    <w:pitch w:val="variable"/>
    <w:sig w:usb0="800000AF" w:usb1="4000204B" w:usb2="00000000" w:usb3="00000000" w:csb0="00000001" w:csb1="00000000"/>
  </w:font>
  <w:font w:name="Adobe Caslon Pro">
    <w:altName w:val="Georgia"/>
    <w:panose1 w:val="0205050205050A020403"/>
    <w:charset w:val="00"/>
    <w:family w:val="roman"/>
    <w:notTrueType/>
    <w:pitch w:val="variable"/>
    <w:sig w:usb0="800000AF" w:usb1="5000205B" w:usb2="00000000" w:usb3="00000000" w:csb0="0000009B" w:csb1="00000000"/>
  </w:font>
  <w:font w:name="Adobe caslon pro regular">
    <w:altName w:val="Times New Roman"/>
    <w:panose1 w:val="00000000000000000000"/>
    <w:charset w:val="00"/>
    <w:family w:val="roman"/>
    <w:notTrueType/>
    <w:pitch w:val="default"/>
  </w:font>
  <w:font w:name="Adobe Caslon Pro Bold">
    <w:altName w:val="Times New Roman"/>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76" w:rsidRPr="00E576FC" w:rsidRDefault="00C07176" w:rsidP="007D438D">
    <w:pPr>
      <w:pStyle w:val="Piedepgina"/>
      <w:shd w:val="clear" w:color="auto" w:fill="FFFFFF"/>
      <w:tabs>
        <w:tab w:val="clear" w:pos="8838"/>
        <w:tab w:val="right" w:pos="9033"/>
      </w:tabs>
      <w:ind w:right="712"/>
      <w:jc w:val="center"/>
      <w:rPr>
        <w:rFonts w:ascii="Adobe Caslon Pro Bold" w:hAnsi="Adobe Caslon Pro Bold"/>
        <w:color w:val="A6A6A6" w:themeColor="background1" w:themeShade="A6"/>
        <w:sz w:val="16"/>
        <w:szCs w:val="16"/>
        <w:lang w:val="en-US"/>
      </w:rPr>
    </w:pPr>
    <w:r>
      <w:rPr>
        <w:rFonts w:ascii="Adobe caslon pro regular" w:hAnsi="Adobe caslon pro regular"/>
        <w:color w:val="A6A6A6" w:themeColor="background1" w:themeShade="A6"/>
        <w:sz w:val="16"/>
        <w:szCs w:val="16"/>
      </w:rPr>
      <w:tab/>
    </w:r>
  </w:p>
  <w:p w:rsidR="00C07176" w:rsidRPr="00656472" w:rsidRDefault="00C07176">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76" w:rsidRDefault="00C07176">
      <w:pPr>
        <w:spacing w:after="0" w:line="240" w:lineRule="auto"/>
      </w:pPr>
      <w:r>
        <w:separator/>
      </w:r>
    </w:p>
  </w:footnote>
  <w:footnote w:type="continuationSeparator" w:id="0">
    <w:p w:rsidR="00C07176" w:rsidRDefault="00C07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76" w:rsidRDefault="00C07176" w:rsidP="00C22FF7">
    <w:pPr>
      <w:pStyle w:val="Encabezado"/>
    </w:pPr>
    <w:r w:rsidRPr="0078484A">
      <w:rPr>
        <w:noProof/>
        <w:sz w:val="18"/>
        <w:lang w:eastAsia="es-MX"/>
      </w:rPr>
      <w:drawing>
        <wp:anchor distT="0" distB="0" distL="114300" distR="114300" simplePos="0" relativeHeight="251659264" behindDoc="0" locked="0" layoutInCell="1" allowOverlap="1" wp14:anchorId="1770154A" wp14:editId="41ED66CA">
          <wp:simplePos x="0" y="0"/>
          <wp:positionH relativeFrom="column">
            <wp:posOffset>-336550</wp:posOffset>
          </wp:positionH>
          <wp:positionV relativeFrom="paragraph">
            <wp:posOffset>-87630</wp:posOffset>
          </wp:positionV>
          <wp:extent cx="2292985" cy="9048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_institucional_membrete 2.jpg"/>
                  <pic:cNvPicPr/>
                </pic:nvPicPr>
                <pic:blipFill>
                  <a:blip r:embed="rId1">
                    <a:extLst>
                      <a:ext uri="{28A0092B-C50C-407E-A947-70E740481C1C}">
                        <a14:useLocalDpi xmlns:a14="http://schemas.microsoft.com/office/drawing/2010/main" val="0"/>
                      </a:ext>
                    </a:extLst>
                  </a:blip>
                  <a:stretch>
                    <a:fillRect/>
                  </a:stretch>
                </pic:blipFill>
                <pic:spPr>
                  <a:xfrm>
                    <a:off x="0" y="0"/>
                    <a:ext cx="2292985" cy="904875"/>
                  </a:xfrm>
                  <a:prstGeom prst="rect">
                    <a:avLst/>
                  </a:prstGeom>
                </pic:spPr>
              </pic:pic>
            </a:graphicData>
          </a:graphic>
          <wp14:sizeRelH relativeFrom="page">
            <wp14:pctWidth>0</wp14:pctWidth>
          </wp14:sizeRelH>
          <wp14:sizeRelV relativeFrom="page">
            <wp14:pctHeight>0</wp14:pctHeight>
          </wp14:sizeRelV>
        </wp:anchor>
      </w:drawing>
    </w:r>
  </w:p>
  <w:p w:rsidR="00C07176" w:rsidRPr="002F5BF1" w:rsidRDefault="00C07176" w:rsidP="00C22FF7">
    <w:pPr>
      <w:pStyle w:val="Encabezado"/>
      <w:jc w:val="right"/>
      <w:rPr>
        <w:rFonts w:ascii="Adobe Caslon Pro" w:hAnsi="Adobe Caslon Pro"/>
        <w:color w:val="7F7F7F" w:themeColor="text1" w:themeTint="80"/>
        <w:sz w:val="18"/>
      </w:rPr>
    </w:pPr>
    <w:r w:rsidRPr="002F5BF1">
      <w:rPr>
        <w:rFonts w:ascii="Adobe Caslon Pro" w:hAnsi="Adobe Caslon Pro"/>
        <w:color w:val="7F7F7F" w:themeColor="text1" w:themeTint="80"/>
        <w:sz w:val="18"/>
      </w:rPr>
      <w:t>Oficialía Mayor</w:t>
    </w:r>
  </w:p>
  <w:p w:rsidR="00C07176" w:rsidRPr="00DD4DF5" w:rsidRDefault="00C07176" w:rsidP="00C22FF7">
    <w:pPr>
      <w:pStyle w:val="Encabezado"/>
      <w:jc w:val="right"/>
      <w:rPr>
        <w:rFonts w:ascii="Adobe Caslon Pro" w:hAnsi="Adobe Caslon Pro"/>
        <w:b/>
        <w:color w:val="7F7F7F" w:themeColor="text1" w:themeTint="80"/>
        <w:sz w:val="18"/>
      </w:rPr>
    </w:pPr>
    <w:r w:rsidRPr="00DD4DF5">
      <w:rPr>
        <w:rFonts w:ascii="Adobe Caslon Pro" w:hAnsi="Adobe Caslon Pro"/>
        <w:b/>
        <w:color w:val="7F7F7F" w:themeColor="text1" w:themeTint="80"/>
        <w:sz w:val="18"/>
      </w:rPr>
      <w:t>Dirección General de Programación, Organización y Presupuesto</w:t>
    </w:r>
  </w:p>
  <w:p w:rsidR="00C07176" w:rsidRPr="00DD4DF5" w:rsidRDefault="00C07176" w:rsidP="00C22FF7">
    <w:pPr>
      <w:pStyle w:val="Encabezado"/>
      <w:jc w:val="right"/>
      <w:rPr>
        <w:rFonts w:ascii="Adobe Caslon Pro" w:hAnsi="Adobe Caslon Pro"/>
        <w:color w:val="7F7F7F" w:themeColor="text1" w:themeTint="80"/>
        <w:sz w:val="16"/>
      </w:rPr>
    </w:pPr>
    <w:r w:rsidRPr="00DD4DF5">
      <w:rPr>
        <w:rFonts w:ascii="Adobe Caslon Pro" w:hAnsi="Adobe Caslon Pro"/>
        <w:color w:val="7F7F7F" w:themeColor="text1" w:themeTint="80"/>
        <w:sz w:val="16"/>
      </w:rPr>
      <w:t>Dirección General Adjunta de Modernización y Presupuesto de Servicios Personales</w:t>
    </w:r>
  </w:p>
  <w:p w:rsidR="00C07176" w:rsidRDefault="00C071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B3A"/>
    <w:multiLevelType w:val="hybridMultilevel"/>
    <w:tmpl w:val="38A8CE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2207A0"/>
    <w:multiLevelType w:val="hybridMultilevel"/>
    <w:tmpl w:val="469EA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B62173"/>
    <w:multiLevelType w:val="hybridMultilevel"/>
    <w:tmpl w:val="FB2693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97"/>
    <w:rsid w:val="00000C9B"/>
    <w:rsid w:val="000D61FF"/>
    <w:rsid w:val="000F5C9D"/>
    <w:rsid w:val="000F5CE7"/>
    <w:rsid w:val="00104BFD"/>
    <w:rsid w:val="0011201B"/>
    <w:rsid w:val="00172ACB"/>
    <w:rsid w:val="00191142"/>
    <w:rsid w:val="00191B00"/>
    <w:rsid w:val="001A2066"/>
    <w:rsid w:val="001D4261"/>
    <w:rsid w:val="001D72DB"/>
    <w:rsid w:val="001D7797"/>
    <w:rsid w:val="001E3C3E"/>
    <w:rsid w:val="00235867"/>
    <w:rsid w:val="00241944"/>
    <w:rsid w:val="00251993"/>
    <w:rsid w:val="00251C04"/>
    <w:rsid w:val="002628EF"/>
    <w:rsid w:val="002C49DA"/>
    <w:rsid w:val="002F0EC4"/>
    <w:rsid w:val="002F3651"/>
    <w:rsid w:val="002F6B28"/>
    <w:rsid w:val="00301329"/>
    <w:rsid w:val="00302084"/>
    <w:rsid w:val="003129B3"/>
    <w:rsid w:val="00312A35"/>
    <w:rsid w:val="00370C82"/>
    <w:rsid w:val="00376639"/>
    <w:rsid w:val="00376B07"/>
    <w:rsid w:val="003854C7"/>
    <w:rsid w:val="003A2D53"/>
    <w:rsid w:val="003A2EE2"/>
    <w:rsid w:val="003C4352"/>
    <w:rsid w:val="003C6B8F"/>
    <w:rsid w:val="003E70A6"/>
    <w:rsid w:val="0041149B"/>
    <w:rsid w:val="00447CDD"/>
    <w:rsid w:val="00471790"/>
    <w:rsid w:val="00471FE5"/>
    <w:rsid w:val="004747EE"/>
    <w:rsid w:val="00485053"/>
    <w:rsid w:val="004C0E67"/>
    <w:rsid w:val="00550AEB"/>
    <w:rsid w:val="00576A75"/>
    <w:rsid w:val="005A2D19"/>
    <w:rsid w:val="005A7802"/>
    <w:rsid w:val="005C028A"/>
    <w:rsid w:val="005D0D49"/>
    <w:rsid w:val="005D4CFD"/>
    <w:rsid w:val="005D71CC"/>
    <w:rsid w:val="005E60C8"/>
    <w:rsid w:val="005E657D"/>
    <w:rsid w:val="00602A95"/>
    <w:rsid w:val="00605109"/>
    <w:rsid w:val="006517E3"/>
    <w:rsid w:val="00660133"/>
    <w:rsid w:val="00667366"/>
    <w:rsid w:val="00676E39"/>
    <w:rsid w:val="006A252C"/>
    <w:rsid w:val="006A457B"/>
    <w:rsid w:val="006C2B83"/>
    <w:rsid w:val="006E1FA1"/>
    <w:rsid w:val="006F2BAF"/>
    <w:rsid w:val="006F3D5A"/>
    <w:rsid w:val="006F44B0"/>
    <w:rsid w:val="007217CE"/>
    <w:rsid w:val="00722B10"/>
    <w:rsid w:val="00736482"/>
    <w:rsid w:val="00745150"/>
    <w:rsid w:val="00762867"/>
    <w:rsid w:val="0078430D"/>
    <w:rsid w:val="007A7C15"/>
    <w:rsid w:val="007C57B3"/>
    <w:rsid w:val="007D438D"/>
    <w:rsid w:val="007D4AEA"/>
    <w:rsid w:val="007F693B"/>
    <w:rsid w:val="00810EAD"/>
    <w:rsid w:val="008210FB"/>
    <w:rsid w:val="00832117"/>
    <w:rsid w:val="0084559A"/>
    <w:rsid w:val="00845DBD"/>
    <w:rsid w:val="00857B45"/>
    <w:rsid w:val="00867451"/>
    <w:rsid w:val="00887887"/>
    <w:rsid w:val="008B378F"/>
    <w:rsid w:val="008D2615"/>
    <w:rsid w:val="008F0BD8"/>
    <w:rsid w:val="0091306D"/>
    <w:rsid w:val="00935D1D"/>
    <w:rsid w:val="009375F7"/>
    <w:rsid w:val="00960FCA"/>
    <w:rsid w:val="00962A87"/>
    <w:rsid w:val="00980558"/>
    <w:rsid w:val="00982C35"/>
    <w:rsid w:val="0098423A"/>
    <w:rsid w:val="00984CC2"/>
    <w:rsid w:val="00990804"/>
    <w:rsid w:val="009909C4"/>
    <w:rsid w:val="00992501"/>
    <w:rsid w:val="009A52F9"/>
    <w:rsid w:val="009B180E"/>
    <w:rsid w:val="009B6D45"/>
    <w:rsid w:val="00A42AD2"/>
    <w:rsid w:val="00A5306F"/>
    <w:rsid w:val="00A67B6B"/>
    <w:rsid w:val="00A73CBB"/>
    <w:rsid w:val="00A822A1"/>
    <w:rsid w:val="00AB6A5F"/>
    <w:rsid w:val="00AC74E5"/>
    <w:rsid w:val="00AD420E"/>
    <w:rsid w:val="00AE249C"/>
    <w:rsid w:val="00AF4533"/>
    <w:rsid w:val="00B06787"/>
    <w:rsid w:val="00B30F79"/>
    <w:rsid w:val="00B42C3C"/>
    <w:rsid w:val="00B45EB4"/>
    <w:rsid w:val="00B6577C"/>
    <w:rsid w:val="00B73819"/>
    <w:rsid w:val="00B75EF4"/>
    <w:rsid w:val="00B8043E"/>
    <w:rsid w:val="00B8357D"/>
    <w:rsid w:val="00C07176"/>
    <w:rsid w:val="00C22FF7"/>
    <w:rsid w:val="00C42B44"/>
    <w:rsid w:val="00C46D6A"/>
    <w:rsid w:val="00C5130B"/>
    <w:rsid w:val="00C547A9"/>
    <w:rsid w:val="00C62AAC"/>
    <w:rsid w:val="00C64C2B"/>
    <w:rsid w:val="00C742A9"/>
    <w:rsid w:val="00C818C8"/>
    <w:rsid w:val="00C94C0E"/>
    <w:rsid w:val="00CB0EB6"/>
    <w:rsid w:val="00CB1291"/>
    <w:rsid w:val="00CC48D2"/>
    <w:rsid w:val="00CC6B88"/>
    <w:rsid w:val="00CD0E91"/>
    <w:rsid w:val="00CD3AEB"/>
    <w:rsid w:val="00CD62AF"/>
    <w:rsid w:val="00D07E2D"/>
    <w:rsid w:val="00D22E62"/>
    <w:rsid w:val="00D24A70"/>
    <w:rsid w:val="00D31901"/>
    <w:rsid w:val="00D61DF8"/>
    <w:rsid w:val="00D63C61"/>
    <w:rsid w:val="00D709BA"/>
    <w:rsid w:val="00D948EB"/>
    <w:rsid w:val="00D960C4"/>
    <w:rsid w:val="00DA36A8"/>
    <w:rsid w:val="00DD5BD9"/>
    <w:rsid w:val="00DE533F"/>
    <w:rsid w:val="00DE56F5"/>
    <w:rsid w:val="00DF1DCC"/>
    <w:rsid w:val="00E10827"/>
    <w:rsid w:val="00E662EA"/>
    <w:rsid w:val="00E7121E"/>
    <w:rsid w:val="00EB1FC2"/>
    <w:rsid w:val="00EC41B9"/>
    <w:rsid w:val="00F37DF2"/>
    <w:rsid w:val="00F402AD"/>
    <w:rsid w:val="00F63EB9"/>
    <w:rsid w:val="00F762B2"/>
    <w:rsid w:val="00F826E4"/>
    <w:rsid w:val="00FA0499"/>
    <w:rsid w:val="00FE2BC7"/>
    <w:rsid w:val="00FE5A15"/>
    <w:rsid w:val="00FE62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7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D7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D77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7797"/>
  </w:style>
  <w:style w:type="paragraph" w:styleId="Piedepgina">
    <w:name w:val="footer"/>
    <w:basedOn w:val="Normal"/>
    <w:link w:val="PiedepginaCar"/>
    <w:uiPriority w:val="99"/>
    <w:unhideWhenUsed/>
    <w:rsid w:val="001D77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7797"/>
  </w:style>
  <w:style w:type="character" w:styleId="Textoennegrita">
    <w:name w:val="Strong"/>
    <w:basedOn w:val="Fuentedeprrafopredeter"/>
    <w:uiPriority w:val="22"/>
    <w:qFormat/>
    <w:rsid w:val="002C49DA"/>
    <w:rPr>
      <w:b/>
      <w:bCs/>
    </w:rPr>
  </w:style>
  <w:style w:type="paragraph" w:customStyle="1" w:styleId="Default">
    <w:name w:val="Default"/>
    <w:rsid w:val="00C62AAC"/>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39"/>
    <w:rsid w:val="00C62AAC"/>
    <w:pPr>
      <w:spacing w:after="0" w:line="240" w:lineRule="auto"/>
    </w:pPr>
    <w:rPr>
      <w:rFonts w:ascii="Soberana Sans" w:hAnsi="Soberana San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A2EE2"/>
    <w:pPr>
      <w:ind w:left="720"/>
      <w:contextualSpacing/>
    </w:pPr>
  </w:style>
  <w:style w:type="character" w:styleId="Hipervnculo">
    <w:name w:val="Hyperlink"/>
    <w:basedOn w:val="Fuentedeprrafopredeter"/>
    <w:uiPriority w:val="99"/>
    <w:unhideWhenUsed/>
    <w:rsid w:val="006F2B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7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D7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D77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7797"/>
  </w:style>
  <w:style w:type="paragraph" w:styleId="Piedepgina">
    <w:name w:val="footer"/>
    <w:basedOn w:val="Normal"/>
    <w:link w:val="PiedepginaCar"/>
    <w:uiPriority w:val="99"/>
    <w:unhideWhenUsed/>
    <w:rsid w:val="001D77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7797"/>
  </w:style>
  <w:style w:type="character" w:styleId="Textoennegrita">
    <w:name w:val="Strong"/>
    <w:basedOn w:val="Fuentedeprrafopredeter"/>
    <w:uiPriority w:val="22"/>
    <w:qFormat/>
    <w:rsid w:val="002C49DA"/>
    <w:rPr>
      <w:b/>
      <w:bCs/>
    </w:rPr>
  </w:style>
  <w:style w:type="paragraph" w:customStyle="1" w:styleId="Default">
    <w:name w:val="Default"/>
    <w:rsid w:val="00C62AAC"/>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39"/>
    <w:rsid w:val="00C62AAC"/>
    <w:pPr>
      <w:spacing w:after="0" w:line="240" w:lineRule="auto"/>
    </w:pPr>
    <w:rPr>
      <w:rFonts w:ascii="Soberana Sans" w:hAnsi="Soberana San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A2EE2"/>
    <w:pPr>
      <w:ind w:left="720"/>
      <w:contextualSpacing/>
    </w:pPr>
  </w:style>
  <w:style w:type="character" w:styleId="Hipervnculo">
    <w:name w:val="Hyperlink"/>
    <w:basedOn w:val="Fuentedeprrafopredeter"/>
    <w:uiPriority w:val="99"/>
    <w:unhideWhenUsed/>
    <w:rsid w:val="006F2B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125">
      <w:bodyDiv w:val="1"/>
      <w:marLeft w:val="0"/>
      <w:marRight w:val="0"/>
      <w:marTop w:val="0"/>
      <w:marBottom w:val="0"/>
      <w:divBdr>
        <w:top w:val="none" w:sz="0" w:space="0" w:color="auto"/>
        <w:left w:val="none" w:sz="0" w:space="0" w:color="auto"/>
        <w:bottom w:val="none" w:sz="0" w:space="0" w:color="auto"/>
        <w:right w:val="none" w:sz="0" w:space="0" w:color="auto"/>
      </w:divBdr>
    </w:div>
    <w:div w:id="138308502">
      <w:bodyDiv w:val="1"/>
      <w:marLeft w:val="0"/>
      <w:marRight w:val="0"/>
      <w:marTop w:val="0"/>
      <w:marBottom w:val="0"/>
      <w:divBdr>
        <w:top w:val="none" w:sz="0" w:space="0" w:color="auto"/>
        <w:left w:val="none" w:sz="0" w:space="0" w:color="auto"/>
        <w:bottom w:val="none" w:sz="0" w:space="0" w:color="auto"/>
        <w:right w:val="none" w:sz="0" w:space="0" w:color="auto"/>
      </w:divBdr>
    </w:div>
    <w:div w:id="154267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D52A5-9334-42AF-A129-43554251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4</Pages>
  <Words>1582</Words>
  <Characters>8707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DGPOP</dc:creator>
  <cp:lastModifiedBy>Eduardo Rodriguez Covarrubias</cp:lastModifiedBy>
  <cp:revision>89</cp:revision>
  <cp:lastPrinted>2017-03-23T16:00:00Z</cp:lastPrinted>
  <dcterms:created xsi:type="dcterms:W3CDTF">2017-03-17T21:12:00Z</dcterms:created>
  <dcterms:modified xsi:type="dcterms:W3CDTF">2017-04-27T20:20:00Z</dcterms:modified>
</cp:coreProperties>
</file>